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3797C351" w:rsidR="003E1A65" w:rsidRPr="00DE4417" w:rsidRDefault="003E1A65" w:rsidP="003E1A65">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WG4 Meeting #</w:t>
      </w:r>
      <w:r w:rsidR="00CA42E6">
        <w:rPr>
          <w:rFonts w:eastAsia="Malgun Gothic"/>
          <w:b/>
          <w:bCs/>
          <w:sz w:val="28"/>
          <w:lang w:val="en-GB"/>
        </w:rPr>
        <w:t>86</w:t>
      </w:r>
      <w:r w:rsidR="00FC5279">
        <w:rPr>
          <w:rFonts w:eastAsia="Malgun Gothic"/>
          <w:b/>
          <w:bCs/>
          <w:sz w:val="28"/>
          <w:lang w:val="en-GB"/>
        </w:rPr>
        <w:t>bis</w:t>
      </w:r>
      <w:r w:rsidRPr="00DE4417">
        <w:rPr>
          <w:rFonts w:eastAsia="Malgun Gothic"/>
          <w:b/>
          <w:bCs/>
          <w:sz w:val="28"/>
          <w:lang w:val="en-GB" w:eastAsia="ko-KR"/>
        </w:rPr>
        <w:tab/>
      </w:r>
      <w:r w:rsidR="00E078EA" w:rsidRPr="00E078EA">
        <w:rPr>
          <w:rFonts w:eastAsia="Malgun Gothic"/>
          <w:b/>
          <w:bCs/>
          <w:sz w:val="28"/>
          <w:lang w:val="en-GB"/>
        </w:rPr>
        <w:t>R4-1804444</w:t>
      </w:r>
    </w:p>
    <w:p w14:paraId="50CBE1C5" w14:textId="4B6321AB" w:rsidR="003E1A65" w:rsidRPr="00BB1D06" w:rsidRDefault="00FC5279" w:rsidP="003E1A65">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BB1D06">
        <w:rPr>
          <w:rFonts w:eastAsia="Malgun Gothic"/>
          <w:b/>
          <w:bCs/>
          <w:sz w:val="28"/>
          <w:lang w:eastAsia="ko-KR"/>
        </w:rPr>
        <w:t>Melbourne</w:t>
      </w:r>
      <w:r w:rsidR="003E1A65" w:rsidRPr="00BB1D06">
        <w:rPr>
          <w:rFonts w:eastAsia="Malgun Gothic"/>
          <w:b/>
          <w:bCs/>
          <w:sz w:val="28"/>
          <w:lang w:eastAsia="ko-KR"/>
        </w:rPr>
        <w:t xml:space="preserve">, </w:t>
      </w:r>
      <w:r w:rsidRPr="00BB1D06">
        <w:rPr>
          <w:rFonts w:eastAsia="Malgun Gothic"/>
          <w:b/>
          <w:bCs/>
          <w:sz w:val="28"/>
          <w:lang w:eastAsia="ko-KR"/>
        </w:rPr>
        <w:t>Australia</w:t>
      </w:r>
      <w:r w:rsidR="003E1A65" w:rsidRPr="00BB1D06">
        <w:rPr>
          <w:rFonts w:eastAsia="Malgun Gothic"/>
          <w:b/>
          <w:bCs/>
          <w:sz w:val="28"/>
          <w:lang w:eastAsia="ko-KR"/>
        </w:rPr>
        <w:t xml:space="preserve">, </w:t>
      </w:r>
      <w:r w:rsidRPr="00BB1D06">
        <w:rPr>
          <w:rFonts w:eastAsia="Malgun Gothic"/>
          <w:b/>
          <w:bCs/>
          <w:sz w:val="28"/>
          <w:lang w:eastAsia="ko-KR"/>
        </w:rPr>
        <w:t>16 – 20 April</w:t>
      </w:r>
      <w:r w:rsidR="003E1A65" w:rsidRPr="00BB1D06">
        <w:rPr>
          <w:rFonts w:eastAsia="Malgun Gothic"/>
          <w:b/>
          <w:bCs/>
          <w:sz w:val="28"/>
          <w:lang w:eastAsia="ko-KR"/>
        </w:rPr>
        <w:t xml:space="preserve"> 2018</w:t>
      </w:r>
    </w:p>
    <w:p w14:paraId="38A11C1B" w14:textId="4366E99C" w:rsidR="003E1A65" w:rsidRPr="00BB1D06" w:rsidRDefault="003E1A65" w:rsidP="003E1A65">
      <w:pPr>
        <w:rPr>
          <w:bCs/>
        </w:rPr>
      </w:pPr>
      <w:r w:rsidRPr="00BB1D06">
        <w:rPr>
          <w:b/>
        </w:rPr>
        <w:t>Source:</w:t>
      </w:r>
      <w:r w:rsidRPr="00BB1D06">
        <w:rPr>
          <w:b/>
        </w:rPr>
        <w:tab/>
      </w:r>
      <w:r w:rsidRPr="00BB1D06">
        <w:rPr>
          <w:b/>
        </w:rPr>
        <w:tab/>
      </w:r>
      <w:r w:rsidR="00DB29DE" w:rsidRPr="00BB1D06">
        <w:t>Rohde</w:t>
      </w:r>
      <w:r w:rsidR="00CA42E6" w:rsidRPr="00BB1D06">
        <w:t xml:space="preserve"> </w:t>
      </w:r>
      <w:r w:rsidR="00DB29DE" w:rsidRPr="00BB1D06">
        <w:t>&amp;</w:t>
      </w:r>
      <w:r w:rsidR="00CA42E6" w:rsidRPr="00BB1D06">
        <w:t xml:space="preserve"> </w:t>
      </w:r>
      <w:r w:rsidRPr="00BB1D06">
        <w:t>Schwarz</w:t>
      </w:r>
    </w:p>
    <w:p w14:paraId="422DE63C" w14:textId="542CC3B4" w:rsidR="00B81FC7" w:rsidRPr="00DE4417" w:rsidRDefault="00B81FC7" w:rsidP="008159B1">
      <w:pPr>
        <w:ind w:left="2160" w:hanging="2160"/>
        <w:rPr>
          <w:b/>
          <w:lang w:val="en-GB"/>
        </w:rPr>
      </w:pPr>
      <w:r w:rsidRPr="00DE4417">
        <w:rPr>
          <w:b/>
          <w:lang w:val="en-GB"/>
        </w:rPr>
        <w:t>Title:</w:t>
      </w:r>
      <w:r w:rsidRPr="00DE4417">
        <w:rPr>
          <w:b/>
          <w:lang w:val="en-GB"/>
        </w:rPr>
        <w:tab/>
      </w:r>
      <w:r w:rsidR="00372BD6">
        <w:rPr>
          <w:lang w:val="en-GB"/>
        </w:rPr>
        <w:t>On Beam Peak Directions</w:t>
      </w:r>
    </w:p>
    <w:p w14:paraId="75E65FB7" w14:textId="2603BD21"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AB3CDD" w:rsidRPr="00DE4417">
        <w:rPr>
          <w:lang w:val="en-GB"/>
        </w:rPr>
        <w:t>TBD</w:t>
      </w:r>
    </w:p>
    <w:p w14:paraId="21F2DA1B" w14:textId="60968071" w:rsidR="00B81FC7" w:rsidRPr="00DE4417" w:rsidRDefault="00B81FC7" w:rsidP="00B81FC7">
      <w:pPr>
        <w:rPr>
          <w:sz w:val="18"/>
          <w:szCs w:val="18"/>
          <w:lang w:val="en-GB"/>
        </w:rPr>
      </w:pPr>
      <w:r w:rsidRPr="00DE4417">
        <w:rPr>
          <w:b/>
          <w:lang w:val="en-GB"/>
        </w:rPr>
        <w:t>Document for:</w:t>
      </w:r>
      <w:r w:rsidRPr="00DE4417">
        <w:rPr>
          <w:lang w:val="en-GB"/>
        </w:rPr>
        <w:tab/>
      </w:r>
      <w:r w:rsidR="005F37CF" w:rsidRPr="00DE4417">
        <w:rPr>
          <w:lang w:val="en-GB"/>
        </w:rPr>
        <w:t>Approval</w:t>
      </w:r>
    </w:p>
    <w:p w14:paraId="7CA60390" w14:textId="77777777" w:rsidR="00B81FC7" w:rsidRPr="00DE4417" w:rsidRDefault="00B81FC7" w:rsidP="00B81FC7">
      <w:pPr>
        <w:pStyle w:val="Heading1"/>
        <w:rPr>
          <w:rFonts w:cs="Arial"/>
        </w:rPr>
      </w:pPr>
      <w:r w:rsidRPr="00DE4417">
        <w:rPr>
          <w:rFonts w:cs="Arial"/>
        </w:rPr>
        <w:t>Introduction</w:t>
      </w:r>
    </w:p>
    <w:p w14:paraId="1D922F53" w14:textId="31DC1387" w:rsidR="005F37CF" w:rsidRPr="00DE4417" w:rsidRDefault="00CE6399" w:rsidP="008159B1">
      <w:pPr>
        <w:jc w:val="both"/>
        <w:rPr>
          <w:lang w:val="en-GB"/>
        </w:rPr>
      </w:pPr>
      <w:bookmarkStart w:id="0" w:name="OLE_LINK10"/>
      <w:bookmarkStart w:id="1" w:name="OLE_LINK11"/>
      <w:r>
        <w:rPr>
          <w:lang w:val="en-GB"/>
        </w:rPr>
        <w:t>In the last meeting, clarifications regarding the TX and RX beam peak directions were made in [</w:t>
      </w:r>
      <w:r>
        <w:rPr>
          <w:lang w:val="en-GB"/>
        </w:rPr>
        <w:fldChar w:fldCharType="begin"/>
      </w:r>
      <w:r>
        <w:rPr>
          <w:lang w:val="en-GB"/>
        </w:rPr>
        <w:instrText xml:space="preserve"> REF _Ref510437311 \r \h </w:instrText>
      </w:r>
      <w:r>
        <w:rPr>
          <w:lang w:val="en-GB"/>
        </w:rPr>
      </w:r>
      <w:r>
        <w:rPr>
          <w:lang w:val="en-GB"/>
        </w:rPr>
        <w:fldChar w:fldCharType="separate"/>
      </w:r>
      <w:r>
        <w:rPr>
          <w:lang w:val="en-GB"/>
        </w:rPr>
        <w:t>1</w:t>
      </w:r>
      <w:r>
        <w:rPr>
          <w:lang w:val="en-GB"/>
        </w:rPr>
        <w:fldChar w:fldCharType="end"/>
      </w:r>
      <w:r>
        <w:rPr>
          <w:lang w:val="en-GB"/>
        </w:rPr>
        <w:fldChar w:fldCharType="begin"/>
      </w:r>
      <w:r>
        <w:rPr>
          <w:lang w:val="en-GB"/>
        </w:rPr>
        <w:instrText xml:space="preserve"> REF _Ref510437317 \r \h </w:instrText>
      </w:r>
      <w:r>
        <w:rPr>
          <w:lang w:val="en-GB"/>
        </w:rPr>
      </w:r>
      <w:r>
        <w:rPr>
          <w:lang w:val="en-GB"/>
        </w:rPr>
        <w:fldChar w:fldCharType="separate"/>
      </w:r>
      <w:r>
        <w:rPr>
          <w:lang w:val="en-GB"/>
        </w:rPr>
        <w:t>-3]</w:t>
      </w:r>
      <w:r>
        <w:rPr>
          <w:lang w:val="en-GB"/>
        </w:rPr>
        <w:fldChar w:fldCharType="end"/>
      </w:r>
      <w:r>
        <w:rPr>
          <w:lang w:val="en-GB"/>
        </w:rPr>
        <w:t xml:space="preserve">. During offline discussions, corner cases of TX/RX beam peak directions were discussed. This contribution is highlighting those corner cases with the intention to clearly </w:t>
      </w:r>
      <w:r w:rsidR="00992ACD">
        <w:rPr>
          <w:lang w:val="en-GB"/>
        </w:rPr>
        <w:t xml:space="preserve">define the beam peak direction. Additionally, the beam peak search procedure is outlined in more detail. </w:t>
      </w:r>
    </w:p>
    <w:p w14:paraId="59D92B3E" w14:textId="41CAD6E4" w:rsidR="00FC45FA" w:rsidRDefault="002A659B" w:rsidP="00FC45FA">
      <w:pPr>
        <w:pStyle w:val="Heading1"/>
        <w:rPr>
          <w:rFonts w:cs="Arial"/>
        </w:rPr>
      </w:pPr>
      <w:r w:rsidRPr="00DE4417">
        <w:rPr>
          <w:rFonts w:cs="Arial"/>
        </w:rPr>
        <w:t>Discussion</w:t>
      </w:r>
    </w:p>
    <w:p w14:paraId="1DA2B735" w14:textId="39761748" w:rsidR="003F426A" w:rsidRDefault="00D77E12" w:rsidP="003F426A">
      <w:pPr>
        <w:rPr>
          <w:lang w:val="en-GB" w:eastAsia="en-US"/>
        </w:rPr>
      </w:pPr>
      <w:r>
        <w:rPr>
          <w:lang w:val="en-GB" w:eastAsia="en-US"/>
        </w:rPr>
        <w:t xml:space="preserve">The new definitions for the TX beam peak and RX beam peak directions were agreed in </w:t>
      </w:r>
      <w:r>
        <w:rPr>
          <w:lang w:val="en-GB" w:eastAsia="en-US"/>
        </w:rPr>
        <w:fldChar w:fldCharType="begin"/>
      </w:r>
      <w:r>
        <w:rPr>
          <w:lang w:val="en-GB" w:eastAsia="en-US"/>
        </w:rPr>
        <w:instrText xml:space="preserve"> REF _Ref510437317 \r \h </w:instrText>
      </w:r>
      <w:r>
        <w:rPr>
          <w:lang w:val="en-GB" w:eastAsia="en-US"/>
        </w:rPr>
      </w:r>
      <w:r>
        <w:rPr>
          <w:lang w:val="en-GB" w:eastAsia="en-US"/>
        </w:rPr>
        <w:fldChar w:fldCharType="separate"/>
      </w:r>
      <w:r>
        <w:rPr>
          <w:lang w:val="en-GB" w:eastAsia="en-US"/>
        </w:rPr>
        <w:t>[3]</w:t>
      </w:r>
      <w:r>
        <w:rPr>
          <w:lang w:val="en-GB" w:eastAsia="en-US"/>
        </w:rPr>
        <w:fldChar w:fldCharType="end"/>
      </w:r>
    </w:p>
    <w:tbl>
      <w:tblPr>
        <w:tblpPr w:leftFromText="180" w:rightFromText="180" w:vertAnchor="text" w:tblpX="51" w:tblpY="51"/>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5"/>
      </w:tblGrid>
      <w:tr w:rsidR="00D77E12" w14:paraId="117637F3" w14:textId="77777777" w:rsidTr="00D77E12">
        <w:trPr>
          <w:trHeight w:val="2600"/>
        </w:trPr>
        <w:tc>
          <w:tcPr>
            <w:tcW w:w="9355" w:type="dxa"/>
          </w:tcPr>
          <w:p w14:paraId="6A0312D4" w14:textId="77777777" w:rsidR="00D77E12" w:rsidRPr="004D3578" w:rsidRDefault="00D77E12" w:rsidP="00D77E12">
            <w:pPr>
              <w:pStyle w:val="Heading2"/>
              <w:numPr>
                <w:ilvl w:val="0"/>
                <w:numId w:val="0"/>
              </w:numPr>
              <w:ind w:left="432" w:hanging="432"/>
            </w:pPr>
            <w:bookmarkStart w:id="2" w:name="_Toc503255601"/>
            <w:r w:rsidRPr="004D3578">
              <w:t>3.1</w:t>
            </w:r>
            <w:r w:rsidRPr="004D3578">
              <w:tab/>
              <w:t>Definitions</w:t>
            </w:r>
          </w:p>
          <w:p w14:paraId="12F644BB" w14:textId="77777777" w:rsidR="00D77E12" w:rsidRPr="004D3578" w:rsidRDefault="00D77E12" w:rsidP="00D77E12">
            <w:r w:rsidRPr="004D3578">
              <w:t xml:space="preserve">For the purposes of the present document, the terms and definitions given in </w:t>
            </w:r>
            <w:bookmarkStart w:id="3" w:name="OLE_LINK8"/>
            <w:r>
              <w:t xml:space="preserve">3GPP </w:t>
            </w:r>
            <w:bookmarkEnd w:id="3"/>
            <w:r w:rsidRPr="004D3578">
              <w:t xml:space="preserve">TR 21.905 [1] and the following apply. A term defined in the present document takes precedence over the definition of the same term, if any, in </w:t>
            </w:r>
            <w:r>
              <w:t xml:space="preserve">3GPP </w:t>
            </w:r>
            <w:r w:rsidRPr="004D3578">
              <w:t>TR 21.905 [1].</w:t>
            </w:r>
          </w:p>
          <w:p w14:paraId="0CB77B20" w14:textId="77777777" w:rsidR="00D77E12" w:rsidRDefault="00D77E12" w:rsidP="00D77E12">
            <w:pPr>
              <w:pStyle w:val="B1"/>
            </w:pPr>
            <w:r w:rsidRPr="00E44132">
              <w:rPr>
                <w:b/>
                <w:highlight w:val="yellow"/>
              </w:rPr>
              <w:t>TX</w:t>
            </w:r>
            <w:r>
              <w:rPr>
                <w:b/>
              </w:rPr>
              <w:t xml:space="preserve"> </w:t>
            </w:r>
            <w:r w:rsidRPr="00324154">
              <w:rPr>
                <w:b/>
              </w:rPr>
              <w:t>beam peak direction:</w:t>
            </w:r>
            <w:r>
              <w:t xml:space="preserve"> direction where the maximum </w:t>
            </w:r>
            <w:r w:rsidRPr="00E44132">
              <w:rPr>
                <w:highlight w:val="yellow"/>
              </w:rPr>
              <w:t>total component of</w:t>
            </w:r>
            <w:r>
              <w:t xml:space="preserve"> EIRP is found</w:t>
            </w:r>
          </w:p>
          <w:p w14:paraId="5BA62F6C" w14:textId="79A00482" w:rsidR="00D77E12" w:rsidRPr="00D77E12" w:rsidRDefault="00D77E12" w:rsidP="00D77E12">
            <w:pPr>
              <w:pStyle w:val="B1"/>
            </w:pPr>
            <w:r w:rsidRPr="00E44132">
              <w:rPr>
                <w:b/>
                <w:highlight w:val="yellow"/>
              </w:rPr>
              <w:t xml:space="preserve">RX beam peak direction: </w:t>
            </w:r>
            <w:r w:rsidRPr="00764BDE">
              <w:rPr>
                <w:highlight w:val="yellow"/>
              </w:rPr>
              <w:t>direction where the maximum total component of RSRP and thus best total component of EIS is found</w:t>
            </w:r>
          </w:p>
        </w:tc>
      </w:tr>
    </w:tbl>
    <w:bookmarkEnd w:id="2"/>
    <w:p w14:paraId="695FD832" w14:textId="545CC2F4" w:rsidR="00D77E12" w:rsidRDefault="00E2514A" w:rsidP="003F426A">
      <w:pPr>
        <w:rPr>
          <w:lang w:val="en-GB" w:eastAsia="en-US"/>
        </w:rPr>
      </w:pPr>
      <w:r>
        <w:rPr>
          <w:lang w:val="en-GB" w:eastAsia="en-US"/>
        </w:rPr>
        <w:t xml:space="preserve">A high-level search procedure for the respective peak positions were outlined in </w:t>
      </w:r>
      <w:r>
        <w:rPr>
          <w:lang w:val="en-GB" w:eastAsia="en-US"/>
        </w:rPr>
        <w:fldChar w:fldCharType="begin"/>
      </w:r>
      <w:r>
        <w:rPr>
          <w:lang w:val="en-GB" w:eastAsia="en-US"/>
        </w:rPr>
        <w:instrText xml:space="preserve"> REF _Ref510438748 \r \h </w:instrText>
      </w:r>
      <w:r>
        <w:rPr>
          <w:lang w:val="en-GB" w:eastAsia="en-US"/>
        </w:rPr>
      </w:r>
      <w:r>
        <w:rPr>
          <w:lang w:val="en-GB" w:eastAsia="en-US"/>
        </w:rPr>
        <w:fldChar w:fldCharType="separate"/>
      </w:r>
      <w:r>
        <w:rPr>
          <w:lang w:val="en-GB" w:eastAsia="en-US"/>
        </w:rPr>
        <w:t>[4]</w:t>
      </w:r>
      <w:r>
        <w:rPr>
          <w:lang w:val="en-GB" w:eastAsia="en-US"/>
        </w:rPr>
        <w:fldChar w:fldCharType="end"/>
      </w:r>
      <w:r w:rsidR="009A17E0">
        <w:rPr>
          <w:lang w:val="en-GB" w:eastAsia="en-US"/>
        </w:rPr>
        <w:t xml:space="preserve"> and the need for a beam </w:t>
      </w:r>
      <w:r w:rsidR="00B14D30">
        <w:rPr>
          <w:lang w:val="en-GB" w:eastAsia="en-US"/>
        </w:rPr>
        <w:t xml:space="preserve">peak </w:t>
      </w:r>
      <w:r w:rsidR="009A17E0">
        <w:rPr>
          <w:lang w:val="en-GB" w:eastAsia="en-US"/>
        </w:rPr>
        <w:t xml:space="preserve">search procedure was outlined in </w:t>
      </w:r>
      <w:r w:rsidR="009A17E0">
        <w:rPr>
          <w:lang w:val="en-GB" w:eastAsia="en-US"/>
        </w:rPr>
        <w:fldChar w:fldCharType="begin"/>
      </w:r>
      <w:r w:rsidR="009A17E0">
        <w:rPr>
          <w:lang w:val="en-GB" w:eastAsia="en-US"/>
        </w:rPr>
        <w:instrText xml:space="preserve"> REF _Ref510439813 \r \h </w:instrText>
      </w:r>
      <w:r w:rsidR="009A17E0">
        <w:rPr>
          <w:lang w:val="en-GB" w:eastAsia="en-US"/>
        </w:rPr>
      </w:r>
      <w:r w:rsidR="009A17E0">
        <w:rPr>
          <w:lang w:val="en-GB" w:eastAsia="en-US"/>
        </w:rPr>
        <w:fldChar w:fldCharType="separate"/>
      </w:r>
      <w:r w:rsidR="009A17E0">
        <w:rPr>
          <w:lang w:val="en-GB" w:eastAsia="en-US"/>
        </w:rPr>
        <w:t>[5]</w:t>
      </w:r>
      <w:r w:rsidR="009A17E0">
        <w:rPr>
          <w:lang w:val="en-GB" w:eastAsia="en-US"/>
        </w:rPr>
        <w:fldChar w:fldCharType="end"/>
      </w:r>
      <w:r>
        <w:rPr>
          <w:lang w:val="en-GB" w:eastAsia="en-US"/>
        </w:rPr>
        <w:t>.</w:t>
      </w:r>
    </w:p>
    <w:p w14:paraId="17F3DE63" w14:textId="3473DA10" w:rsidR="001B3ED9" w:rsidRDefault="00992ACD" w:rsidP="003F426A">
      <w:pPr>
        <w:rPr>
          <w:lang w:eastAsia="en-US"/>
        </w:rPr>
      </w:pPr>
      <w:r>
        <w:rPr>
          <w:lang w:val="en-GB" w:eastAsia="en-US"/>
        </w:rPr>
        <w:t>In</w:t>
      </w:r>
      <w:r w:rsidR="001B3ED9">
        <w:rPr>
          <w:lang w:eastAsia="en-US"/>
        </w:rPr>
        <w:t xml:space="preserve"> offline discussions </w:t>
      </w:r>
      <w:r>
        <w:rPr>
          <w:lang w:eastAsia="en-US"/>
        </w:rPr>
        <w:t xml:space="preserve">during </w:t>
      </w:r>
      <w:r w:rsidR="001B3ED9">
        <w:rPr>
          <w:lang w:eastAsia="en-US"/>
        </w:rPr>
        <w:t xml:space="preserve">the last meeting, a corner case was discussed where the global beam peak direction was not aligned with the </w:t>
      </w:r>
      <w:r w:rsidR="004A7B67">
        <w:rPr>
          <w:lang w:eastAsia="en-US"/>
        </w:rPr>
        <w:t xml:space="preserve">intended </w:t>
      </w:r>
      <w:r w:rsidR="001B3ED9">
        <w:rPr>
          <w:lang w:eastAsia="en-US"/>
        </w:rPr>
        <w:t xml:space="preserve">base station direction, i.e., the TX (RX) beam peak direction is not in the direction from where the DL was provided. An illustration of such a case in 2D is shown in </w:t>
      </w:r>
      <w:r w:rsidR="001B3ED9">
        <w:rPr>
          <w:lang w:eastAsia="en-US"/>
        </w:rPr>
        <w:fldChar w:fldCharType="begin"/>
      </w:r>
      <w:r w:rsidR="001B3ED9">
        <w:rPr>
          <w:lang w:eastAsia="en-US"/>
        </w:rPr>
        <w:instrText xml:space="preserve"> REF _Ref510442804 \h </w:instrText>
      </w:r>
      <w:r w:rsidR="001B3ED9">
        <w:rPr>
          <w:lang w:eastAsia="en-US"/>
        </w:rPr>
      </w:r>
      <w:r w:rsidR="001B3ED9">
        <w:rPr>
          <w:lang w:eastAsia="en-US"/>
        </w:rPr>
        <w:fldChar w:fldCharType="separate"/>
      </w:r>
      <w:r w:rsidR="001B3ED9">
        <w:t xml:space="preserve">Figure </w:t>
      </w:r>
      <w:r w:rsidR="001B3ED9">
        <w:rPr>
          <w:noProof/>
        </w:rPr>
        <w:t>1</w:t>
      </w:r>
      <w:r w:rsidR="001B3ED9">
        <w:rPr>
          <w:lang w:eastAsia="en-US"/>
        </w:rPr>
        <w:fldChar w:fldCharType="end"/>
      </w:r>
      <w:r w:rsidR="007F603F">
        <w:rPr>
          <w:lang w:eastAsia="en-US"/>
        </w:rPr>
        <w:t xml:space="preserve"> where the </w:t>
      </w:r>
      <w:r w:rsidR="004A7B67">
        <w:rPr>
          <w:lang w:eastAsia="en-US"/>
        </w:rPr>
        <w:t>unintended (</w:t>
      </w:r>
      <w:r w:rsidR="007F603F">
        <w:rPr>
          <w:lang w:eastAsia="en-US"/>
        </w:rPr>
        <w:t>side</w:t>
      </w:r>
      <w:r w:rsidR="004A7B67">
        <w:rPr>
          <w:lang w:eastAsia="en-US"/>
        </w:rPr>
        <w:t>)</w:t>
      </w:r>
      <w:r w:rsidR="007F603F">
        <w:rPr>
          <w:lang w:eastAsia="en-US"/>
        </w:rPr>
        <w:t xml:space="preserve"> lobe of the antenna array is larger than the </w:t>
      </w:r>
      <w:r w:rsidR="004A7B67">
        <w:rPr>
          <w:lang w:eastAsia="en-US"/>
        </w:rPr>
        <w:t xml:space="preserve">intended </w:t>
      </w:r>
      <w:r w:rsidR="007F603F">
        <w:rPr>
          <w:lang w:eastAsia="en-US"/>
        </w:rPr>
        <w:t xml:space="preserve">lobe which is directed/steered towards the BS. </w:t>
      </w:r>
    </w:p>
    <w:p w14:paraId="5114ACAC" w14:textId="5B817193" w:rsidR="001B3ED9" w:rsidRDefault="00CA1540" w:rsidP="001B3ED9">
      <w:pPr>
        <w:jc w:val="center"/>
        <w:rPr>
          <w:lang w:eastAsia="en-US"/>
        </w:rPr>
      </w:pPr>
      <w:r w:rsidRPr="00CA1540">
        <w:rPr>
          <w:lang w:eastAsia="en-US"/>
        </w:rPr>
        <w:lastRenderedPageBreak/>
        <w:t xml:space="preserve"> </w:t>
      </w:r>
      <w:r w:rsidR="006A5D57">
        <w:rPr>
          <w:noProof/>
          <w:lang w:eastAsia="en-US"/>
        </w:rPr>
        <w:drawing>
          <wp:inline distT="0" distB="0" distL="0" distR="0" wp14:anchorId="08B05078" wp14:editId="16BFFBDE">
            <wp:extent cx="2743200" cy="2072593"/>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0" cy="2072593"/>
                    </a:xfrm>
                    <a:prstGeom prst="rect">
                      <a:avLst/>
                    </a:prstGeom>
                    <a:noFill/>
                  </pic:spPr>
                </pic:pic>
              </a:graphicData>
            </a:graphic>
          </wp:inline>
        </w:drawing>
      </w:r>
    </w:p>
    <w:p w14:paraId="59E4018E" w14:textId="7FDD0E5C" w:rsidR="001B3ED9" w:rsidRPr="001B3ED9" w:rsidRDefault="001B3ED9" w:rsidP="001B3ED9">
      <w:pPr>
        <w:pStyle w:val="Caption"/>
      </w:pPr>
      <w:bookmarkStart w:id="4" w:name="_Ref510442804"/>
      <w:r>
        <w:t xml:space="preserve">Figure </w:t>
      </w:r>
      <w:r>
        <w:fldChar w:fldCharType="begin"/>
      </w:r>
      <w:r>
        <w:instrText xml:space="preserve"> SEQ Figure \* ARABIC </w:instrText>
      </w:r>
      <w:r>
        <w:fldChar w:fldCharType="separate"/>
      </w:r>
      <w:r>
        <w:rPr>
          <w:noProof/>
        </w:rPr>
        <w:t>1</w:t>
      </w:r>
      <w:r>
        <w:fldChar w:fldCharType="end"/>
      </w:r>
      <w:bookmarkEnd w:id="4"/>
      <w:r>
        <w:t>: Illustration of an antenna array pattern with a beam peak direction not directed towards the BS.</w:t>
      </w:r>
    </w:p>
    <w:p w14:paraId="5B9F5371" w14:textId="65D1A70A" w:rsidR="007F603F" w:rsidRDefault="007F603F" w:rsidP="003F426A">
      <w:pPr>
        <w:rPr>
          <w:lang w:val="en-GB" w:eastAsia="en-US"/>
        </w:rPr>
      </w:pPr>
      <w:r>
        <w:rPr>
          <w:lang w:val="en-GB" w:eastAsia="en-US"/>
        </w:rPr>
        <w:t xml:space="preserve">As the </w:t>
      </w:r>
      <w:r w:rsidR="006F7449">
        <w:rPr>
          <w:lang w:val="en-GB" w:eastAsia="en-US"/>
        </w:rPr>
        <w:t>unintended (</w:t>
      </w:r>
      <w:r>
        <w:rPr>
          <w:lang w:val="en-GB" w:eastAsia="en-US"/>
        </w:rPr>
        <w:t>side</w:t>
      </w:r>
      <w:r w:rsidR="006F7449">
        <w:rPr>
          <w:lang w:val="en-GB" w:eastAsia="en-US"/>
        </w:rPr>
        <w:t>)</w:t>
      </w:r>
      <w:r>
        <w:rPr>
          <w:lang w:val="en-GB" w:eastAsia="en-US"/>
        </w:rPr>
        <w:t xml:space="preserve"> lob</w:t>
      </w:r>
      <w:r w:rsidR="00992ACD">
        <w:rPr>
          <w:lang w:val="en-GB" w:eastAsia="en-US"/>
        </w:rPr>
        <w:t>e</w:t>
      </w:r>
      <w:r>
        <w:rPr>
          <w:lang w:val="en-GB" w:eastAsia="en-US"/>
        </w:rPr>
        <w:t xml:space="preserve"> of such a beam would never be used for an active link between the UE and the BS, it is proposed to only consider beam peak directions steered towards base stations. </w:t>
      </w:r>
      <w:r w:rsidR="00485AB7">
        <w:rPr>
          <w:lang w:val="en-GB" w:eastAsia="en-US"/>
        </w:rPr>
        <w:t xml:space="preserve">Furthermore, the signal quality in such a side lobe is questionable. </w:t>
      </w:r>
      <w:r w:rsidR="00D44A9A">
        <w:rPr>
          <w:lang w:val="en-GB" w:eastAsia="en-US"/>
        </w:rPr>
        <w:t xml:space="preserve">The search procedure to determine the </w:t>
      </w:r>
      <w:r w:rsidR="00CA1540">
        <w:rPr>
          <w:lang w:val="en-GB" w:eastAsia="en-US"/>
        </w:rPr>
        <w:t xml:space="preserve">global beam peak </w:t>
      </w:r>
      <w:r w:rsidR="00D44A9A">
        <w:rPr>
          <w:lang w:val="en-GB" w:eastAsia="en-US"/>
        </w:rPr>
        <w:t>directions</w:t>
      </w:r>
      <w:r w:rsidR="00CA1540">
        <w:rPr>
          <w:lang w:val="en-GB" w:eastAsia="en-US"/>
        </w:rPr>
        <w:t>, i.e.,</w:t>
      </w:r>
      <w:r w:rsidR="00D44A9A">
        <w:rPr>
          <w:lang w:val="en-GB" w:eastAsia="en-US"/>
        </w:rPr>
        <w:t xml:space="preserve"> including the side lob</w:t>
      </w:r>
      <w:r w:rsidR="00E25F9C">
        <w:rPr>
          <w:lang w:val="en-GB" w:eastAsia="en-US"/>
        </w:rPr>
        <w:t>e</w:t>
      </w:r>
      <w:r w:rsidR="00D44A9A">
        <w:rPr>
          <w:lang w:val="en-GB" w:eastAsia="en-US"/>
        </w:rPr>
        <w:t>s</w:t>
      </w:r>
      <w:r w:rsidR="00CA1540">
        <w:rPr>
          <w:lang w:val="en-GB" w:eastAsia="en-US"/>
        </w:rPr>
        <w:t>,</w:t>
      </w:r>
      <w:r w:rsidR="00D44A9A">
        <w:rPr>
          <w:lang w:val="en-GB" w:eastAsia="en-US"/>
        </w:rPr>
        <w:t xml:space="preserve"> would be very time intensive as for </w:t>
      </w:r>
      <w:r w:rsidR="00E25F9C">
        <w:rPr>
          <w:lang w:val="en-GB" w:eastAsia="en-US"/>
        </w:rPr>
        <w:t xml:space="preserve">every beam steering direction in 3D another 3D scan of the antenna pattern would be required. </w:t>
      </w:r>
      <w:r w:rsidR="00D44A9A">
        <w:rPr>
          <w:lang w:val="en-GB" w:eastAsia="en-US"/>
        </w:rPr>
        <w:t xml:space="preserve"> </w:t>
      </w:r>
    </w:p>
    <w:p w14:paraId="0B3989B3" w14:textId="361DD6A7" w:rsidR="00D44A9A" w:rsidRPr="00D44A9A" w:rsidRDefault="00D44A9A" w:rsidP="003F426A">
      <w:pPr>
        <w:rPr>
          <w:b/>
          <w:lang w:val="en-GB" w:eastAsia="en-US"/>
        </w:rPr>
      </w:pPr>
      <w:r w:rsidRPr="00D44A9A">
        <w:rPr>
          <w:b/>
          <w:lang w:val="en-GB" w:eastAsia="en-US"/>
        </w:rPr>
        <w:t>Proposal</w:t>
      </w:r>
      <w:r w:rsidR="002E26E6">
        <w:rPr>
          <w:b/>
          <w:lang w:val="en-GB" w:eastAsia="en-US"/>
        </w:rPr>
        <w:t xml:space="preserve"> 1: Consider TX or </w:t>
      </w:r>
      <w:r w:rsidRPr="00D44A9A">
        <w:rPr>
          <w:b/>
          <w:lang w:val="en-GB" w:eastAsia="en-US"/>
        </w:rPr>
        <w:t>RX</w:t>
      </w:r>
      <w:r w:rsidR="002E26E6">
        <w:rPr>
          <w:b/>
          <w:lang w:val="en-GB" w:eastAsia="en-US"/>
        </w:rPr>
        <w:t xml:space="preserve"> </w:t>
      </w:r>
      <w:r w:rsidRPr="00D44A9A">
        <w:rPr>
          <w:b/>
          <w:lang w:val="en-GB" w:eastAsia="en-US"/>
        </w:rPr>
        <w:t xml:space="preserve">beam peak directions only </w:t>
      </w:r>
      <w:r>
        <w:rPr>
          <w:b/>
          <w:lang w:val="en-GB" w:eastAsia="en-US"/>
        </w:rPr>
        <w:t xml:space="preserve">for beam steering directions towards </w:t>
      </w:r>
      <w:r w:rsidR="00CF2728">
        <w:rPr>
          <w:b/>
          <w:lang w:val="en-GB" w:eastAsia="en-US"/>
        </w:rPr>
        <w:t xml:space="preserve">DL signals presented to the UE </w:t>
      </w:r>
    </w:p>
    <w:p w14:paraId="439E285E" w14:textId="24258C0C" w:rsidR="00992ACD" w:rsidRDefault="00992ACD" w:rsidP="00992ACD">
      <w:pPr>
        <w:rPr>
          <w:lang w:val="en-GB" w:eastAsia="en-US"/>
        </w:rPr>
      </w:pPr>
      <w:r>
        <w:rPr>
          <w:lang w:val="en-GB" w:eastAsia="en-US"/>
        </w:rPr>
        <w:t xml:space="preserve">For a DUT with a number of integrated antenna arrays and each antenna array supporting a finite number of beam steering directions, the beam peak search </w:t>
      </w:r>
      <w:r w:rsidR="00CA1540">
        <w:rPr>
          <w:lang w:val="en-GB" w:eastAsia="en-US"/>
        </w:rPr>
        <w:t xml:space="preserve">requires a very fine measurement grid to accurately capture the beam peak direction. As </w:t>
      </w:r>
      <w:r>
        <w:rPr>
          <w:lang w:val="en-GB" w:eastAsia="en-US"/>
        </w:rPr>
        <w:t xml:space="preserve">a large number of </w:t>
      </w:r>
      <w:r w:rsidR="00CA1540">
        <w:rPr>
          <w:lang w:val="en-GB" w:eastAsia="en-US"/>
        </w:rPr>
        <w:t xml:space="preserve">TX and RX conformance test cases are performed in the respective beam peak directions, not capturing the correct direction could potentially lead to weeks or months of testing in a wrong direction. </w:t>
      </w:r>
      <w:r w:rsidR="006442A9">
        <w:rPr>
          <w:lang w:val="en-GB" w:eastAsia="en-US"/>
        </w:rPr>
        <w:t xml:space="preserve">The consequences of measuring in a direction other than the true beam peak direction could be significant in terms of test time and cost. </w:t>
      </w:r>
    </w:p>
    <w:p w14:paraId="30B27D1C" w14:textId="6549D26B" w:rsidR="00CA1540" w:rsidRPr="006442A9" w:rsidRDefault="00CA1540" w:rsidP="006442A9">
      <w:pPr>
        <w:rPr>
          <w:i/>
          <w:lang w:val="en-GB" w:eastAsia="en-US"/>
        </w:rPr>
      </w:pPr>
      <w:r w:rsidRPr="001B3ED9">
        <w:rPr>
          <w:i/>
          <w:lang w:val="en-GB" w:eastAsia="en-US"/>
        </w:rPr>
        <w:t xml:space="preserve">Observation 1: A very fine measurement grid is required to determine the beam peak direction </w:t>
      </w:r>
      <w:r w:rsidR="006442A9">
        <w:rPr>
          <w:i/>
          <w:lang w:val="en-GB" w:eastAsia="en-US"/>
        </w:rPr>
        <w:t>a large amount of</w:t>
      </w:r>
      <w:r w:rsidRPr="001B3ED9">
        <w:rPr>
          <w:i/>
          <w:lang w:val="en-GB" w:eastAsia="en-US"/>
        </w:rPr>
        <w:t xml:space="preserve"> TX and RX conformance test cases </w:t>
      </w:r>
      <w:r w:rsidR="006442A9">
        <w:rPr>
          <w:i/>
          <w:lang w:val="en-GB" w:eastAsia="en-US"/>
        </w:rPr>
        <w:t xml:space="preserve">are performed at. The consequences of measuring in a direction other than the </w:t>
      </w:r>
      <w:r w:rsidR="006442A9" w:rsidRPr="006442A9">
        <w:rPr>
          <w:i/>
          <w:lang w:val="en-GB" w:eastAsia="en-US"/>
        </w:rPr>
        <w:t>true beam peak direction could be significant in terms of test time and cost.</w:t>
      </w:r>
    </w:p>
    <w:p w14:paraId="4BB3023A" w14:textId="3B709D00" w:rsidR="002037AC" w:rsidRDefault="002037AC" w:rsidP="003F426A">
      <w:pPr>
        <w:rPr>
          <w:lang w:val="en-GB" w:eastAsia="en-US"/>
        </w:rPr>
      </w:pPr>
      <w:r>
        <w:rPr>
          <w:lang w:val="en-GB" w:eastAsia="en-US"/>
        </w:rPr>
        <w:t xml:space="preserve">A </w:t>
      </w:r>
      <w:r w:rsidR="00E25F9C">
        <w:t>c</w:t>
      </w:r>
      <w:r w:rsidR="00E25F9C" w:rsidRPr="002357FC">
        <w:t xml:space="preserve">onceptual illustration </w:t>
      </w:r>
      <w:r w:rsidR="00B542B2">
        <w:rPr>
          <w:lang w:val="en-GB" w:eastAsia="en-US"/>
        </w:rPr>
        <w:t xml:space="preserve">in 2D </w:t>
      </w:r>
      <w:r>
        <w:rPr>
          <w:lang w:val="en-GB" w:eastAsia="en-US"/>
        </w:rPr>
        <w:t xml:space="preserve">of the </w:t>
      </w:r>
      <w:r w:rsidR="00E25F9C">
        <w:rPr>
          <w:lang w:val="en-GB" w:eastAsia="en-US"/>
        </w:rPr>
        <w:t xml:space="preserve">measurement </w:t>
      </w:r>
      <w:r>
        <w:rPr>
          <w:lang w:val="en-GB" w:eastAsia="en-US"/>
        </w:rPr>
        <w:t xml:space="preserve">setup </w:t>
      </w:r>
      <w:r w:rsidR="00E3625F">
        <w:rPr>
          <w:lang w:val="en-GB" w:eastAsia="en-US"/>
        </w:rPr>
        <w:t xml:space="preserve">to determine the beam peak direction </w:t>
      </w:r>
      <w:r w:rsidR="00B542B2">
        <w:rPr>
          <w:lang w:val="en-GB" w:eastAsia="en-US"/>
        </w:rPr>
        <w:t>for a DUT with two antenna arrays and three steering directions</w:t>
      </w:r>
      <w:r w:rsidR="00E3625F">
        <w:rPr>
          <w:lang w:val="en-GB" w:eastAsia="en-US"/>
        </w:rPr>
        <w:t xml:space="preserve"> is shown in </w:t>
      </w:r>
      <w:r w:rsidR="00E3625F">
        <w:rPr>
          <w:lang w:val="en-GB" w:eastAsia="en-US"/>
        </w:rPr>
        <w:fldChar w:fldCharType="begin"/>
      </w:r>
      <w:r w:rsidR="00E3625F">
        <w:rPr>
          <w:lang w:val="en-GB" w:eastAsia="en-US"/>
        </w:rPr>
        <w:instrText xml:space="preserve"> REF _Ref510440447 \h </w:instrText>
      </w:r>
      <w:r w:rsidR="00E3625F">
        <w:rPr>
          <w:lang w:val="en-GB" w:eastAsia="en-US"/>
        </w:rPr>
      </w:r>
      <w:r w:rsidR="00E3625F">
        <w:rPr>
          <w:lang w:val="en-GB" w:eastAsia="en-US"/>
        </w:rPr>
        <w:fldChar w:fldCharType="separate"/>
      </w:r>
      <w:r w:rsidR="00E3625F">
        <w:t xml:space="preserve">Figure </w:t>
      </w:r>
      <w:r w:rsidR="00E3625F">
        <w:rPr>
          <w:noProof/>
        </w:rPr>
        <w:t>2</w:t>
      </w:r>
      <w:r w:rsidR="00E3625F">
        <w:rPr>
          <w:lang w:val="en-GB" w:eastAsia="en-US"/>
        </w:rPr>
        <w:fldChar w:fldCharType="end"/>
      </w:r>
      <w:r w:rsidR="00B542B2">
        <w:rPr>
          <w:lang w:val="en-GB" w:eastAsia="en-US"/>
        </w:rPr>
        <w:t xml:space="preserve">. The relatively large number of measurement antenna locations is not sufficient to determine the </w:t>
      </w:r>
      <w:r w:rsidR="006442A9">
        <w:rPr>
          <w:lang w:val="en-GB" w:eastAsia="en-US"/>
        </w:rPr>
        <w:t xml:space="preserve">true </w:t>
      </w:r>
      <w:r w:rsidR="00B542B2">
        <w:rPr>
          <w:lang w:val="en-GB" w:eastAsia="en-US"/>
        </w:rPr>
        <w:t xml:space="preserve">beam peak direction (red beam). Based on these measurement antenna positions, the search would have yielded the direction </w:t>
      </w:r>
      <w:r w:rsidR="00CA3F79">
        <w:rPr>
          <w:lang w:val="en-GB" w:eastAsia="en-US"/>
        </w:rPr>
        <w:t>of the</w:t>
      </w:r>
      <w:r w:rsidR="00B542B2">
        <w:rPr>
          <w:lang w:val="en-GB" w:eastAsia="en-US"/>
        </w:rPr>
        <w:t xml:space="preserve"> green beam peak direction </w:t>
      </w:r>
      <w:r w:rsidR="00CA3F79">
        <w:rPr>
          <w:lang w:val="en-GB" w:eastAsia="en-US"/>
        </w:rPr>
        <w:t xml:space="preserve">as the beam with the true beam peak was steered in between two measurement antennas. In an extreme case, the measurement antennas could be positioned in between the peaks of each beam, and the search procedure would have yielded a beam peak direction where the EIRP or EIS is significantly less than that of the true beam peak which could easily yield a false FAIL for various conformance test cases. </w:t>
      </w:r>
    </w:p>
    <w:p w14:paraId="6978E4B5" w14:textId="6A43D1C1" w:rsidR="006442A9" w:rsidRDefault="00CA3F79" w:rsidP="006442A9">
      <w:pPr>
        <w:jc w:val="center"/>
        <w:rPr>
          <w:lang w:val="en-GB" w:eastAsia="en-US"/>
        </w:rPr>
      </w:pPr>
      <w:r>
        <w:rPr>
          <w:noProof/>
          <w:lang w:eastAsia="en-US"/>
        </w:rPr>
        <w:lastRenderedPageBreak/>
        <w:drawing>
          <wp:inline distT="0" distB="0" distL="0" distR="0" wp14:anchorId="17BD081E" wp14:editId="03EF8243">
            <wp:extent cx="4011295" cy="42856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11295" cy="4285615"/>
                    </a:xfrm>
                    <a:prstGeom prst="rect">
                      <a:avLst/>
                    </a:prstGeom>
                    <a:noFill/>
                  </pic:spPr>
                </pic:pic>
              </a:graphicData>
            </a:graphic>
          </wp:inline>
        </w:drawing>
      </w:r>
    </w:p>
    <w:p w14:paraId="5DEAF0F5" w14:textId="40CA9F32" w:rsidR="006442A9" w:rsidRDefault="006442A9" w:rsidP="006442A9">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Pr="002357FC">
        <w:t xml:space="preserve">Conceptual illustration in 2D of possible </w:t>
      </w:r>
      <w:r>
        <w:t xml:space="preserve">DUT beam steering directions with discrete measurement antenna locations. </w:t>
      </w:r>
    </w:p>
    <w:p w14:paraId="474DA092" w14:textId="1D929D50" w:rsidR="00DA1931" w:rsidRPr="00DA1931" w:rsidRDefault="00DA1931" w:rsidP="003F426A">
      <w:pPr>
        <w:rPr>
          <w:lang w:eastAsia="en-US"/>
        </w:rPr>
      </w:pPr>
      <w:r w:rsidRPr="00DA1931">
        <w:rPr>
          <w:lang w:eastAsia="en-US"/>
        </w:rPr>
        <w:t>As</w:t>
      </w:r>
      <w:r>
        <w:rPr>
          <w:lang w:eastAsia="en-US"/>
        </w:rPr>
        <w:t xml:space="preserve"> different system integrators have different preferences in terms of measurement grid types, it is suggested to leave the grid type up to system vendors. As outlined above, a fine enough grid is required to determine the correct beam peak direction. </w:t>
      </w:r>
    </w:p>
    <w:p w14:paraId="0DC9F2DF" w14:textId="48B48A7D" w:rsidR="00BB1D06" w:rsidRDefault="00B542B2" w:rsidP="003F426A">
      <w:pPr>
        <w:rPr>
          <w:b/>
          <w:lang w:val="en-GB" w:eastAsia="en-US"/>
        </w:rPr>
      </w:pPr>
      <w:r w:rsidRPr="001B3ED9">
        <w:rPr>
          <w:b/>
          <w:lang w:val="en-GB" w:eastAsia="en-US"/>
        </w:rPr>
        <w:t xml:space="preserve">Proposal </w:t>
      </w:r>
      <w:r w:rsidR="00E3625F">
        <w:rPr>
          <w:b/>
          <w:lang w:val="en-GB" w:eastAsia="en-US"/>
        </w:rPr>
        <w:t>2</w:t>
      </w:r>
      <w:r w:rsidRPr="001B3ED9">
        <w:rPr>
          <w:b/>
          <w:lang w:val="en-GB" w:eastAsia="en-US"/>
        </w:rPr>
        <w:t xml:space="preserve">: The measurement grid type </w:t>
      </w:r>
      <w:r w:rsidR="00BB1D06">
        <w:rPr>
          <w:b/>
          <w:lang w:val="en-GB" w:eastAsia="en-US"/>
        </w:rPr>
        <w:t>is left up to system vendors.</w:t>
      </w:r>
    </w:p>
    <w:p w14:paraId="3BF56CA3" w14:textId="486D336B" w:rsidR="00B542B2" w:rsidRDefault="00BB1D06" w:rsidP="003F426A">
      <w:pPr>
        <w:rPr>
          <w:b/>
          <w:lang w:val="en-GB" w:eastAsia="en-US"/>
        </w:rPr>
      </w:pPr>
      <w:r>
        <w:rPr>
          <w:b/>
          <w:lang w:val="en-GB" w:eastAsia="en-US"/>
        </w:rPr>
        <w:t>Proposal 3: T</w:t>
      </w:r>
      <w:r w:rsidR="00B542B2" w:rsidRPr="001B3ED9">
        <w:rPr>
          <w:b/>
          <w:lang w:val="en-GB" w:eastAsia="en-US"/>
        </w:rPr>
        <w:t xml:space="preserve">he </w:t>
      </w:r>
      <w:r w:rsidR="002E26E6">
        <w:rPr>
          <w:b/>
          <w:lang w:val="en-GB" w:eastAsia="en-US"/>
        </w:rPr>
        <w:t>min</w:t>
      </w:r>
      <w:r w:rsidR="00DA1931">
        <w:rPr>
          <w:b/>
          <w:lang w:val="en-GB" w:eastAsia="en-US"/>
        </w:rPr>
        <w:t>imum</w:t>
      </w:r>
      <w:r w:rsidR="002E26E6">
        <w:rPr>
          <w:b/>
          <w:lang w:val="en-GB" w:eastAsia="en-US"/>
        </w:rPr>
        <w:t xml:space="preserve"> </w:t>
      </w:r>
      <w:r w:rsidR="00B542B2" w:rsidRPr="001B3ED9">
        <w:rPr>
          <w:b/>
          <w:lang w:val="en-GB" w:eastAsia="en-US"/>
        </w:rPr>
        <w:t xml:space="preserve">number of measurement points </w:t>
      </w:r>
      <w:r w:rsidR="00DD0E61" w:rsidRPr="001B3ED9">
        <w:rPr>
          <w:b/>
          <w:lang w:val="en-GB" w:eastAsia="en-US"/>
        </w:rPr>
        <w:t xml:space="preserve">to determine the TX and RX beam peak direction </w:t>
      </w:r>
      <w:r>
        <w:rPr>
          <w:b/>
          <w:lang w:val="en-GB" w:eastAsia="en-US"/>
        </w:rPr>
        <w:t xml:space="preserve">is TBD and needs to be </w:t>
      </w:r>
      <w:r>
        <w:rPr>
          <w:b/>
          <w:lang w:eastAsia="en-US"/>
        </w:rPr>
        <w:t>large</w:t>
      </w:r>
      <w:r>
        <w:rPr>
          <w:b/>
          <w:lang w:val="en-GB" w:eastAsia="en-US"/>
        </w:rPr>
        <w:t xml:space="preserve"> enough to capture the beam peak </w:t>
      </w:r>
      <w:r>
        <w:rPr>
          <w:b/>
          <w:lang w:eastAsia="en-US"/>
        </w:rPr>
        <w:t>direction accurately.</w:t>
      </w:r>
      <w:r w:rsidR="00B542B2" w:rsidRPr="001B3ED9">
        <w:rPr>
          <w:b/>
          <w:lang w:val="en-GB" w:eastAsia="en-US"/>
        </w:rPr>
        <w:t xml:space="preserve"> </w:t>
      </w:r>
    </w:p>
    <w:p w14:paraId="68B081A6" w14:textId="4868CADD" w:rsidR="00E3625F" w:rsidRDefault="00E3625F" w:rsidP="003F426A">
      <w:pPr>
        <w:rPr>
          <w:lang w:val="en-GB" w:eastAsia="en-US"/>
        </w:rPr>
      </w:pPr>
      <w:r w:rsidRPr="00E3625F">
        <w:rPr>
          <w:lang w:val="en-GB" w:eastAsia="en-US"/>
        </w:rPr>
        <w:t xml:space="preserve">The </w:t>
      </w:r>
      <w:r>
        <w:rPr>
          <w:lang w:val="en-GB" w:eastAsia="en-US"/>
        </w:rPr>
        <w:t>search procedure</w:t>
      </w:r>
      <w:r w:rsidR="00F50151">
        <w:rPr>
          <w:lang w:val="en-GB" w:eastAsia="en-US"/>
        </w:rPr>
        <w:t xml:space="preserve"> for the TX beam peak direction</w:t>
      </w:r>
      <w:r>
        <w:rPr>
          <w:lang w:val="en-GB" w:eastAsia="en-US"/>
        </w:rPr>
        <w:t xml:space="preserve"> is highlighted in some more detail, compared to </w:t>
      </w:r>
      <w:r>
        <w:rPr>
          <w:lang w:val="en-GB" w:eastAsia="en-US"/>
        </w:rPr>
        <w:fldChar w:fldCharType="begin"/>
      </w:r>
      <w:r>
        <w:rPr>
          <w:lang w:val="en-GB" w:eastAsia="en-US"/>
        </w:rPr>
        <w:instrText xml:space="preserve"> REF _Ref510438748 \r \h </w:instrText>
      </w:r>
      <w:r>
        <w:rPr>
          <w:lang w:val="en-GB" w:eastAsia="en-US"/>
        </w:rPr>
      </w:r>
      <w:r>
        <w:rPr>
          <w:lang w:val="en-GB" w:eastAsia="en-US"/>
        </w:rPr>
        <w:fldChar w:fldCharType="separate"/>
      </w:r>
      <w:r>
        <w:rPr>
          <w:lang w:val="en-GB" w:eastAsia="en-US"/>
        </w:rPr>
        <w:t>[4]</w:t>
      </w:r>
      <w:r>
        <w:rPr>
          <w:lang w:val="en-GB" w:eastAsia="en-US"/>
        </w:rPr>
        <w:fldChar w:fldCharType="end"/>
      </w:r>
      <w:r>
        <w:rPr>
          <w:lang w:val="en-GB" w:eastAsia="en-US"/>
        </w:rPr>
        <w:t>, below:</w:t>
      </w:r>
    </w:p>
    <w:p w14:paraId="42C2CE02" w14:textId="2D99BB06" w:rsidR="00825AED" w:rsidRPr="00E3625F" w:rsidRDefault="00904F79" w:rsidP="000F154D">
      <w:pPr>
        <w:numPr>
          <w:ilvl w:val="1"/>
          <w:numId w:val="48"/>
        </w:numPr>
        <w:rPr>
          <w:lang w:eastAsia="en-US"/>
        </w:rPr>
      </w:pPr>
      <w:r w:rsidRPr="00E3625F">
        <w:rPr>
          <w:lang w:eastAsia="en-US"/>
        </w:rPr>
        <w:t xml:space="preserve">Step 1: Establish connection between gNB and UE with polarization reference </w:t>
      </w:r>
      <w:proofErr w:type="spellStart"/>
      <w:r w:rsidRPr="00E3625F">
        <w:rPr>
          <w:lang w:eastAsia="en-US"/>
        </w:rPr>
        <w:t>Pol</w:t>
      </w:r>
      <w:r w:rsidRPr="00E3625F">
        <w:rPr>
          <w:vertAlign w:val="subscript"/>
          <w:lang w:eastAsia="en-US"/>
        </w:rPr>
        <w:t>Link</w:t>
      </w:r>
      <w:proofErr w:type="spellEnd"/>
      <w:r w:rsidRPr="00E3625F">
        <w:rPr>
          <w:lang w:eastAsia="en-US"/>
        </w:rPr>
        <w:t xml:space="preserve"> = </w:t>
      </w:r>
      <w:r w:rsidR="00E3625F" w:rsidRPr="0005509D">
        <w:rPr>
          <w:lang w:eastAsia="en-US"/>
        </w:rPr>
        <w:t>θ</w:t>
      </w:r>
      <w:r w:rsidR="000F154D" w:rsidRPr="000F154D">
        <w:rPr>
          <w:lang w:eastAsia="en-US"/>
        </w:rPr>
        <w:t xml:space="preserve"> </w:t>
      </w:r>
      <w:r w:rsidR="000F154D">
        <w:rPr>
          <w:lang w:eastAsia="en-US"/>
        </w:rPr>
        <w:t>with the link/measurement antenna</w:t>
      </w:r>
    </w:p>
    <w:p w14:paraId="4665E7F6" w14:textId="171CE19C" w:rsidR="00825AED" w:rsidRPr="00E3625F" w:rsidRDefault="00904F79" w:rsidP="00E3625F">
      <w:pPr>
        <w:numPr>
          <w:ilvl w:val="1"/>
          <w:numId w:val="48"/>
        </w:numPr>
        <w:rPr>
          <w:lang w:eastAsia="en-US"/>
        </w:rPr>
      </w:pPr>
      <w:r w:rsidRPr="00E3625F">
        <w:rPr>
          <w:lang w:eastAsia="en-US"/>
        </w:rPr>
        <w:t xml:space="preserve">Step 2: Position </w:t>
      </w:r>
      <w:r w:rsidR="000F154D">
        <w:rPr>
          <w:lang w:eastAsia="en-US"/>
        </w:rPr>
        <w:t xml:space="preserve">the </w:t>
      </w:r>
      <w:r w:rsidRPr="00E3625F">
        <w:rPr>
          <w:lang w:eastAsia="en-US"/>
        </w:rPr>
        <w:t xml:space="preserve">DL </w:t>
      </w:r>
      <w:r w:rsidR="000F154D">
        <w:rPr>
          <w:lang w:eastAsia="en-US"/>
        </w:rPr>
        <w:t xml:space="preserve">link/measurement </w:t>
      </w:r>
      <w:r w:rsidRPr="00E3625F">
        <w:rPr>
          <w:lang w:eastAsia="en-US"/>
        </w:rPr>
        <w:t xml:space="preserve">antenna at measurement position P1 and let </w:t>
      </w:r>
      <w:r w:rsidR="000F154D">
        <w:rPr>
          <w:lang w:eastAsia="en-US"/>
        </w:rPr>
        <w:t xml:space="preserve">the </w:t>
      </w:r>
      <w:r w:rsidRPr="00E3625F">
        <w:rPr>
          <w:lang w:eastAsia="en-US"/>
        </w:rPr>
        <w:t xml:space="preserve">UE form </w:t>
      </w:r>
      <w:r w:rsidR="000F154D">
        <w:rPr>
          <w:lang w:eastAsia="en-US"/>
        </w:rPr>
        <w:t xml:space="preserve">its </w:t>
      </w:r>
      <w:r w:rsidRPr="00E3625F">
        <w:rPr>
          <w:lang w:eastAsia="en-US"/>
        </w:rPr>
        <w:t xml:space="preserve">UL beam towards P1 and </w:t>
      </w:r>
      <w:proofErr w:type="spellStart"/>
      <w:r w:rsidRPr="00E3625F">
        <w:rPr>
          <w:lang w:eastAsia="en-US"/>
        </w:rPr>
        <w:t>Pol</w:t>
      </w:r>
      <w:r w:rsidRPr="00E3625F">
        <w:rPr>
          <w:vertAlign w:val="subscript"/>
          <w:lang w:eastAsia="en-US"/>
        </w:rPr>
        <w:t>Link</w:t>
      </w:r>
      <w:proofErr w:type="spellEnd"/>
      <w:r w:rsidRPr="00E3625F">
        <w:rPr>
          <w:vertAlign w:val="subscript"/>
          <w:lang w:eastAsia="en-US"/>
        </w:rPr>
        <w:t xml:space="preserve"> </w:t>
      </w:r>
    </w:p>
    <w:p w14:paraId="4E809BE9" w14:textId="343952C1" w:rsidR="00825AED" w:rsidRPr="00E3625F" w:rsidRDefault="00904F79" w:rsidP="00C05A32">
      <w:pPr>
        <w:numPr>
          <w:ilvl w:val="1"/>
          <w:numId w:val="48"/>
        </w:numPr>
        <w:rPr>
          <w:lang w:eastAsia="en-US"/>
        </w:rPr>
      </w:pPr>
      <w:r w:rsidRPr="00E3625F">
        <w:rPr>
          <w:lang w:eastAsia="en-US"/>
        </w:rPr>
        <w:t xml:space="preserve">Step 3: Measure </w:t>
      </w:r>
      <w:proofErr w:type="spellStart"/>
      <w:r w:rsidRPr="00E3625F">
        <w:rPr>
          <w:lang w:eastAsia="en-US"/>
        </w:rPr>
        <w:t>EIRP</w:t>
      </w:r>
      <w:r w:rsidR="00782166" w:rsidRPr="00782166">
        <w:rPr>
          <w:vertAlign w:val="subscript"/>
          <w:lang w:eastAsia="en-US"/>
        </w:rPr>
        <w:t>θ</w:t>
      </w:r>
      <w:proofErr w:type="spellEnd"/>
      <w:r w:rsidRPr="00E3625F">
        <w:rPr>
          <w:lang w:eastAsia="en-US"/>
        </w:rPr>
        <w:t xml:space="preserve"> </w:t>
      </w:r>
      <w:r w:rsidR="00C05A32">
        <w:rPr>
          <w:lang w:eastAsia="en-US"/>
        </w:rPr>
        <w:t>(</w:t>
      </w:r>
      <w:proofErr w:type="spellStart"/>
      <w:r w:rsidR="00C05A32" w:rsidRPr="00E3625F">
        <w:rPr>
          <w:lang w:eastAsia="en-US"/>
        </w:rPr>
        <w:t>Pol</w:t>
      </w:r>
      <w:r w:rsidR="00C05A32" w:rsidRPr="00E3625F">
        <w:rPr>
          <w:vertAlign w:val="subscript"/>
          <w:lang w:eastAsia="en-US"/>
        </w:rPr>
        <w:t>Link</w:t>
      </w:r>
      <w:proofErr w:type="spellEnd"/>
      <w:r w:rsidR="00C05A32" w:rsidRPr="00E3625F">
        <w:rPr>
          <w:lang w:eastAsia="en-US"/>
        </w:rPr>
        <w:t xml:space="preserve"> = </w:t>
      </w:r>
      <w:r w:rsidR="00C05A32" w:rsidRPr="0005509D">
        <w:rPr>
          <w:lang w:eastAsia="en-US"/>
        </w:rPr>
        <w:t>θ</w:t>
      </w:r>
      <w:r w:rsidR="00C05A32">
        <w:rPr>
          <w:lang w:eastAsia="en-US"/>
        </w:rPr>
        <w:t xml:space="preserve">, P1) </w:t>
      </w:r>
      <w:r w:rsidRPr="00E3625F">
        <w:rPr>
          <w:lang w:eastAsia="en-US"/>
        </w:rPr>
        <w:t xml:space="preserve">and </w:t>
      </w:r>
      <w:proofErr w:type="spellStart"/>
      <w:r w:rsidRPr="00E3625F">
        <w:rPr>
          <w:lang w:eastAsia="en-US"/>
        </w:rPr>
        <w:t>EIRP</w:t>
      </w:r>
      <w:r w:rsidR="00E3625F" w:rsidRPr="00E3625F">
        <w:rPr>
          <w:vertAlign w:val="subscript"/>
          <w:lang w:eastAsia="en-US"/>
        </w:rPr>
        <w:t>φ</w:t>
      </w:r>
      <w:proofErr w:type="spellEnd"/>
      <w:r w:rsidRPr="00E3625F">
        <w:rPr>
          <w:lang w:eastAsia="en-US"/>
        </w:rPr>
        <w:t xml:space="preserve"> </w:t>
      </w:r>
      <w:r w:rsidR="00C05A32">
        <w:rPr>
          <w:lang w:eastAsia="en-US"/>
        </w:rPr>
        <w:t>(</w:t>
      </w:r>
      <w:proofErr w:type="spellStart"/>
      <w:r w:rsidR="00C05A32" w:rsidRPr="00E3625F">
        <w:rPr>
          <w:lang w:eastAsia="en-US"/>
        </w:rPr>
        <w:t>Pol</w:t>
      </w:r>
      <w:r w:rsidR="00C05A32" w:rsidRPr="00E3625F">
        <w:rPr>
          <w:vertAlign w:val="subscript"/>
          <w:lang w:eastAsia="en-US"/>
        </w:rPr>
        <w:t>Link</w:t>
      </w:r>
      <w:proofErr w:type="spellEnd"/>
      <w:r w:rsidR="00C05A32" w:rsidRPr="00E3625F">
        <w:rPr>
          <w:lang w:eastAsia="en-US"/>
        </w:rPr>
        <w:t xml:space="preserve"> = </w:t>
      </w:r>
      <w:r w:rsidR="00C05A32" w:rsidRPr="0005509D">
        <w:rPr>
          <w:lang w:eastAsia="en-US"/>
        </w:rPr>
        <w:t>θ</w:t>
      </w:r>
      <w:r w:rsidR="00C05A32">
        <w:rPr>
          <w:lang w:eastAsia="en-US"/>
        </w:rPr>
        <w:t>, P1)</w:t>
      </w:r>
    </w:p>
    <w:p w14:paraId="36EA27CA" w14:textId="464E4737" w:rsidR="00825AED" w:rsidRPr="00E3625F" w:rsidRDefault="00904F79" w:rsidP="00E3625F">
      <w:pPr>
        <w:numPr>
          <w:ilvl w:val="1"/>
          <w:numId w:val="48"/>
        </w:numPr>
        <w:rPr>
          <w:lang w:eastAsia="en-US"/>
        </w:rPr>
      </w:pPr>
      <w:r w:rsidRPr="00E3625F">
        <w:rPr>
          <w:lang w:eastAsia="en-US"/>
        </w:rPr>
        <w:lastRenderedPageBreak/>
        <w:t xml:space="preserve">Step 4: Switch connection to polarization reference </w:t>
      </w:r>
      <w:proofErr w:type="spellStart"/>
      <w:r w:rsidRPr="00E3625F">
        <w:rPr>
          <w:lang w:eastAsia="en-US"/>
        </w:rPr>
        <w:t>Pol</w:t>
      </w:r>
      <w:r w:rsidRPr="00E3625F">
        <w:rPr>
          <w:vertAlign w:val="subscript"/>
          <w:lang w:eastAsia="en-US"/>
        </w:rPr>
        <w:t>Link</w:t>
      </w:r>
      <w:proofErr w:type="spellEnd"/>
      <w:r w:rsidRPr="00E3625F">
        <w:rPr>
          <w:lang w:eastAsia="en-US"/>
        </w:rPr>
        <w:t xml:space="preserve"> = </w:t>
      </w:r>
      <w:r w:rsidR="00F50151" w:rsidRPr="00F50151">
        <w:rPr>
          <w:lang w:eastAsia="en-US"/>
        </w:rPr>
        <w:t>φ</w:t>
      </w:r>
      <w:r w:rsidRPr="00E3625F">
        <w:rPr>
          <w:lang w:eastAsia="en-US"/>
        </w:rPr>
        <w:t xml:space="preserve"> and let UE form UL beam towards P1 and </w:t>
      </w:r>
      <w:proofErr w:type="spellStart"/>
      <w:r w:rsidRPr="00E3625F">
        <w:rPr>
          <w:lang w:eastAsia="en-US"/>
        </w:rPr>
        <w:t>Pol</w:t>
      </w:r>
      <w:r w:rsidRPr="00E3625F">
        <w:rPr>
          <w:vertAlign w:val="subscript"/>
          <w:lang w:eastAsia="en-US"/>
        </w:rPr>
        <w:t>Link</w:t>
      </w:r>
      <w:proofErr w:type="spellEnd"/>
    </w:p>
    <w:p w14:paraId="50054AAC" w14:textId="31FC4044" w:rsidR="00825AED" w:rsidRPr="00E3625F" w:rsidRDefault="00904F79" w:rsidP="00E3625F">
      <w:pPr>
        <w:numPr>
          <w:ilvl w:val="1"/>
          <w:numId w:val="48"/>
        </w:numPr>
        <w:rPr>
          <w:lang w:eastAsia="en-US"/>
        </w:rPr>
      </w:pPr>
      <w:r w:rsidRPr="00E3625F">
        <w:rPr>
          <w:lang w:eastAsia="en-US"/>
        </w:rPr>
        <w:t xml:space="preserve">Step 5: Measure </w:t>
      </w:r>
      <w:proofErr w:type="spellStart"/>
      <w:r w:rsidRPr="00E3625F">
        <w:rPr>
          <w:lang w:eastAsia="en-US"/>
        </w:rPr>
        <w:t>EIRP</w:t>
      </w:r>
      <w:r w:rsidR="00782166" w:rsidRPr="00782166">
        <w:rPr>
          <w:vertAlign w:val="subscript"/>
          <w:lang w:eastAsia="en-US"/>
        </w:rPr>
        <w:t>θ</w:t>
      </w:r>
      <w:proofErr w:type="spellEnd"/>
      <w:r w:rsidR="00C05A32" w:rsidRPr="00C05A32">
        <w:rPr>
          <w:lang w:eastAsia="en-US"/>
        </w:rPr>
        <w:t xml:space="preserve"> </w:t>
      </w:r>
      <w:r w:rsidR="00C05A32">
        <w:rPr>
          <w:lang w:eastAsia="en-US"/>
        </w:rPr>
        <w:t>(</w:t>
      </w:r>
      <w:proofErr w:type="spellStart"/>
      <w:r w:rsidR="00C05A32" w:rsidRPr="00E3625F">
        <w:rPr>
          <w:lang w:eastAsia="en-US"/>
        </w:rPr>
        <w:t>Pol</w:t>
      </w:r>
      <w:r w:rsidR="00C05A32" w:rsidRPr="00E3625F">
        <w:rPr>
          <w:vertAlign w:val="subscript"/>
          <w:lang w:eastAsia="en-US"/>
        </w:rPr>
        <w:t>Link</w:t>
      </w:r>
      <w:proofErr w:type="spellEnd"/>
      <w:r w:rsidR="00C05A32" w:rsidRPr="00E3625F">
        <w:rPr>
          <w:lang w:eastAsia="en-US"/>
        </w:rPr>
        <w:t xml:space="preserve"> = </w:t>
      </w:r>
      <w:r w:rsidR="00C05A32" w:rsidRPr="00F50151">
        <w:rPr>
          <w:lang w:eastAsia="en-US"/>
        </w:rPr>
        <w:t>φ</w:t>
      </w:r>
      <w:r w:rsidR="00C05A32">
        <w:rPr>
          <w:lang w:eastAsia="en-US"/>
        </w:rPr>
        <w:t xml:space="preserve">, P1) </w:t>
      </w:r>
      <w:r w:rsidRPr="00E3625F">
        <w:rPr>
          <w:lang w:eastAsia="en-US"/>
        </w:rPr>
        <w:t xml:space="preserve">and </w:t>
      </w:r>
      <w:proofErr w:type="spellStart"/>
      <w:r w:rsidRPr="00E3625F">
        <w:rPr>
          <w:lang w:eastAsia="en-US"/>
        </w:rPr>
        <w:t>EIRP</w:t>
      </w:r>
      <w:r w:rsidR="00E3625F" w:rsidRPr="00E3625F">
        <w:rPr>
          <w:vertAlign w:val="subscript"/>
          <w:lang w:eastAsia="en-US"/>
        </w:rPr>
        <w:t>φ</w:t>
      </w:r>
      <w:proofErr w:type="spellEnd"/>
      <w:r w:rsidRPr="00E3625F">
        <w:rPr>
          <w:lang w:eastAsia="en-US"/>
        </w:rPr>
        <w:t xml:space="preserve"> </w:t>
      </w:r>
      <w:r w:rsidR="00C05A32">
        <w:rPr>
          <w:lang w:eastAsia="en-US"/>
        </w:rPr>
        <w:t>(</w:t>
      </w:r>
      <w:proofErr w:type="spellStart"/>
      <w:r w:rsidR="00C05A32" w:rsidRPr="00E3625F">
        <w:rPr>
          <w:lang w:eastAsia="en-US"/>
        </w:rPr>
        <w:t>Pol</w:t>
      </w:r>
      <w:r w:rsidR="00C05A32" w:rsidRPr="00E3625F">
        <w:rPr>
          <w:vertAlign w:val="subscript"/>
          <w:lang w:eastAsia="en-US"/>
        </w:rPr>
        <w:t>Link</w:t>
      </w:r>
      <w:proofErr w:type="spellEnd"/>
      <w:r w:rsidR="00C05A32" w:rsidRPr="00E3625F">
        <w:rPr>
          <w:lang w:eastAsia="en-US"/>
        </w:rPr>
        <w:t xml:space="preserve"> = </w:t>
      </w:r>
      <w:r w:rsidR="00C05A32" w:rsidRPr="00F50151">
        <w:rPr>
          <w:lang w:eastAsia="en-US"/>
        </w:rPr>
        <w:t>φ</w:t>
      </w:r>
      <w:r w:rsidR="00C05A32">
        <w:rPr>
          <w:lang w:eastAsia="en-US"/>
        </w:rPr>
        <w:t>, P1)</w:t>
      </w:r>
    </w:p>
    <w:p w14:paraId="760E7D9A" w14:textId="00F4B222" w:rsidR="00825AED" w:rsidRPr="00E3625F" w:rsidRDefault="00904F79" w:rsidP="00E3625F">
      <w:pPr>
        <w:numPr>
          <w:ilvl w:val="1"/>
          <w:numId w:val="48"/>
        </w:numPr>
        <w:rPr>
          <w:lang w:eastAsia="en-US"/>
        </w:rPr>
      </w:pPr>
      <w:r w:rsidRPr="00E3625F">
        <w:rPr>
          <w:lang w:eastAsia="en-US"/>
        </w:rPr>
        <w:t xml:space="preserve">Step 6: Move DL link antenna to measurement position P2 and let UE form UL beam towards P2 and </w:t>
      </w:r>
      <w:proofErr w:type="spellStart"/>
      <w:r w:rsidRPr="00E3625F">
        <w:rPr>
          <w:lang w:eastAsia="en-US"/>
        </w:rPr>
        <w:t>Pol</w:t>
      </w:r>
      <w:r w:rsidRPr="00E3625F">
        <w:rPr>
          <w:vertAlign w:val="subscript"/>
          <w:lang w:eastAsia="en-US"/>
        </w:rPr>
        <w:t>Link</w:t>
      </w:r>
      <w:proofErr w:type="spellEnd"/>
      <w:r w:rsidRPr="00E3625F">
        <w:rPr>
          <w:lang w:eastAsia="en-US"/>
        </w:rPr>
        <w:t xml:space="preserve"> = </w:t>
      </w:r>
      <w:r w:rsidR="00E3625F" w:rsidRPr="0005509D">
        <w:rPr>
          <w:lang w:eastAsia="en-US"/>
        </w:rPr>
        <w:t>φ</w:t>
      </w:r>
      <w:r w:rsidRPr="00E3625F">
        <w:rPr>
          <w:lang w:eastAsia="en-US"/>
        </w:rPr>
        <w:t xml:space="preserve"> </w:t>
      </w:r>
    </w:p>
    <w:p w14:paraId="24F563F9" w14:textId="7C9AEF48" w:rsidR="00825AED" w:rsidRPr="00E3625F" w:rsidRDefault="00904F79" w:rsidP="00E3625F">
      <w:pPr>
        <w:numPr>
          <w:ilvl w:val="1"/>
          <w:numId w:val="48"/>
        </w:numPr>
        <w:rPr>
          <w:lang w:eastAsia="en-US"/>
        </w:rPr>
      </w:pPr>
      <w:r w:rsidRPr="00E3625F">
        <w:rPr>
          <w:lang w:eastAsia="en-US"/>
        </w:rPr>
        <w:t xml:space="preserve">Step 7: Measure </w:t>
      </w:r>
      <w:proofErr w:type="spellStart"/>
      <w:r w:rsidRPr="00E3625F">
        <w:rPr>
          <w:lang w:eastAsia="en-US"/>
        </w:rPr>
        <w:t>EIRP</w:t>
      </w:r>
      <w:r w:rsidR="00782166" w:rsidRPr="00782166">
        <w:rPr>
          <w:vertAlign w:val="subscript"/>
          <w:lang w:eastAsia="en-US"/>
        </w:rPr>
        <w:t>θ</w:t>
      </w:r>
      <w:proofErr w:type="spellEnd"/>
      <w:r w:rsidR="00C05A32" w:rsidRPr="00E3625F">
        <w:rPr>
          <w:lang w:eastAsia="en-US"/>
        </w:rPr>
        <w:t xml:space="preserve"> </w:t>
      </w:r>
      <w:r w:rsidR="00C05A32">
        <w:rPr>
          <w:lang w:eastAsia="en-US"/>
        </w:rPr>
        <w:t>(</w:t>
      </w:r>
      <w:proofErr w:type="spellStart"/>
      <w:r w:rsidR="00C05A32" w:rsidRPr="00E3625F">
        <w:rPr>
          <w:lang w:eastAsia="en-US"/>
        </w:rPr>
        <w:t>Pol</w:t>
      </w:r>
      <w:r w:rsidR="00C05A32" w:rsidRPr="00E3625F">
        <w:rPr>
          <w:vertAlign w:val="subscript"/>
          <w:lang w:eastAsia="en-US"/>
        </w:rPr>
        <w:t>Link</w:t>
      </w:r>
      <w:proofErr w:type="spellEnd"/>
      <w:r w:rsidR="00C05A32" w:rsidRPr="00E3625F">
        <w:rPr>
          <w:lang w:eastAsia="en-US"/>
        </w:rPr>
        <w:t xml:space="preserve"> = </w:t>
      </w:r>
      <w:r w:rsidR="00C05A32" w:rsidRPr="00F50151">
        <w:rPr>
          <w:lang w:eastAsia="en-US"/>
        </w:rPr>
        <w:t>φ</w:t>
      </w:r>
      <w:r w:rsidR="00C05A32">
        <w:rPr>
          <w:lang w:eastAsia="en-US"/>
        </w:rPr>
        <w:t xml:space="preserve">, P2) </w:t>
      </w:r>
      <w:r w:rsidRPr="00E3625F">
        <w:rPr>
          <w:lang w:eastAsia="en-US"/>
        </w:rPr>
        <w:t xml:space="preserve"> and </w:t>
      </w:r>
      <w:proofErr w:type="spellStart"/>
      <w:r w:rsidRPr="00E3625F">
        <w:rPr>
          <w:lang w:eastAsia="en-US"/>
        </w:rPr>
        <w:t>EIRP</w:t>
      </w:r>
      <w:r w:rsidR="000F154D" w:rsidRPr="00E3625F">
        <w:rPr>
          <w:vertAlign w:val="subscript"/>
          <w:lang w:eastAsia="en-US"/>
        </w:rPr>
        <w:t>φ</w:t>
      </w:r>
      <w:proofErr w:type="spellEnd"/>
      <w:r w:rsidRPr="00E3625F">
        <w:rPr>
          <w:lang w:eastAsia="en-US"/>
        </w:rPr>
        <w:t xml:space="preserve"> </w:t>
      </w:r>
      <w:r w:rsidR="00C05A32">
        <w:rPr>
          <w:lang w:eastAsia="en-US"/>
        </w:rPr>
        <w:t>(</w:t>
      </w:r>
      <w:proofErr w:type="spellStart"/>
      <w:r w:rsidR="00C05A32" w:rsidRPr="00E3625F">
        <w:rPr>
          <w:lang w:eastAsia="en-US"/>
        </w:rPr>
        <w:t>Pol</w:t>
      </w:r>
      <w:r w:rsidR="00C05A32" w:rsidRPr="00E3625F">
        <w:rPr>
          <w:vertAlign w:val="subscript"/>
          <w:lang w:eastAsia="en-US"/>
        </w:rPr>
        <w:t>Link</w:t>
      </w:r>
      <w:proofErr w:type="spellEnd"/>
      <w:r w:rsidR="00C05A32" w:rsidRPr="00E3625F">
        <w:rPr>
          <w:lang w:eastAsia="en-US"/>
        </w:rPr>
        <w:t xml:space="preserve"> = </w:t>
      </w:r>
      <w:r w:rsidR="00C05A32" w:rsidRPr="00F50151">
        <w:rPr>
          <w:lang w:eastAsia="en-US"/>
        </w:rPr>
        <w:t>φ</w:t>
      </w:r>
      <w:r w:rsidR="00C05A32">
        <w:rPr>
          <w:lang w:eastAsia="en-US"/>
        </w:rPr>
        <w:t xml:space="preserve">, P2) </w:t>
      </w:r>
      <w:r w:rsidR="00C05A32" w:rsidRPr="00E3625F">
        <w:rPr>
          <w:lang w:eastAsia="en-US"/>
        </w:rPr>
        <w:t xml:space="preserve"> </w:t>
      </w:r>
    </w:p>
    <w:p w14:paraId="75091801" w14:textId="7D032DB5" w:rsidR="00825AED" w:rsidRPr="00E3625F" w:rsidRDefault="00904F79" w:rsidP="00E3625F">
      <w:pPr>
        <w:numPr>
          <w:ilvl w:val="1"/>
          <w:numId w:val="48"/>
        </w:numPr>
        <w:rPr>
          <w:lang w:eastAsia="en-US"/>
        </w:rPr>
      </w:pPr>
      <w:r w:rsidRPr="00E3625F">
        <w:rPr>
          <w:lang w:eastAsia="en-US"/>
        </w:rPr>
        <w:t xml:space="preserve">Step 8: Switch connection to polarization reference </w:t>
      </w:r>
      <w:proofErr w:type="spellStart"/>
      <w:r w:rsidRPr="00E3625F">
        <w:rPr>
          <w:lang w:eastAsia="en-US"/>
        </w:rPr>
        <w:t>Pol</w:t>
      </w:r>
      <w:r w:rsidRPr="00E3625F">
        <w:rPr>
          <w:vertAlign w:val="subscript"/>
          <w:lang w:eastAsia="en-US"/>
        </w:rPr>
        <w:t>Link</w:t>
      </w:r>
      <w:proofErr w:type="spellEnd"/>
      <w:r w:rsidRPr="00E3625F">
        <w:rPr>
          <w:lang w:eastAsia="en-US"/>
        </w:rPr>
        <w:t xml:space="preserve"> = </w:t>
      </w:r>
      <w:r w:rsidR="000F154D" w:rsidRPr="0005509D">
        <w:rPr>
          <w:lang w:eastAsia="en-US"/>
        </w:rPr>
        <w:t>θ</w:t>
      </w:r>
      <w:r w:rsidRPr="00E3625F">
        <w:rPr>
          <w:lang w:eastAsia="en-US"/>
        </w:rPr>
        <w:t xml:space="preserve"> and let UE form UL beam towards P2 and </w:t>
      </w:r>
      <w:proofErr w:type="spellStart"/>
      <w:r w:rsidRPr="00E3625F">
        <w:rPr>
          <w:lang w:eastAsia="en-US"/>
        </w:rPr>
        <w:t>Pol</w:t>
      </w:r>
      <w:r w:rsidRPr="00E3625F">
        <w:rPr>
          <w:vertAlign w:val="subscript"/>
          <w:lang w:eastAsia="en-US"/>
        </w:rPr>
        <w:t>Link</w:t>
      </w:r>
      <w:proofErr w:type="spellEnd"/>
    </w:p>
    <w:p w14:paraId="78EAC251" w14:textId="4CBA736A" w:rsidR="00825AED" w:rsidRPr="00E3625F" w:rsidRDefault="00904F79" w:rsidP="00E3625F">
      <w:pPr>
        <w:numPr>
          <w:ilvl w:val="1"/>
          <w:numId w:val="48"/>
        </w:numPr>
        <w:rPr>
          <w:lang w:eastAsia="en-US"/>
        </w:rPr>
      </w:pPr>
      <w:r w:rsidRPr="00E3625F">
        <w:rPr>
          <w:lang w:eastAsia="en-US"/>
        </w:rPr>
        <w:t xml:space="preserve">Step 9: Measure </w:t>
      </w:r>
      <w:proofErr w:type="spellStart"/>
      <w:r w:rsidRPr="00E3625F">
        <w:rPr>
          <w:lang w:eastAsia="en-US"/>
        </w:rPr>
        <w:t>EIRP</w:t>
      </w:r>
      <w:r w:rsidR="00782166" w:rsidRPr="00782166">
        <w:rPr>
          <w:vertAlign w:val="subscript"/>
          <w:lang w:eastAsia="en-US"/>
        </w:rPr>
        <w:t>θ</w:t>
      </w:r>
      <w:proofErr w:type="spellEnd"/>
      <w:r w:rsidR="00C05A32" w:rsidRPr="00E3625F">
        <w:rPr>
          <w:lang w:eastAsia="en-US"/>
        </w:rPr>
        <w:t xml:space="preserve"> </w:t>
      </w:r>
      <w:r w:rsidR="00C05A32">
        <w:rPr>
          <w:lang w:eastAsia="en-US"/>
        </w:rPr>
        <w:t>(</w:t>
      </w:r>
      <w:proofErr w:type="spellStart"/>
      <w:r w:rsidR="00C05A32" w:rsidRPr="00E3625F">
        <w:rPr>
          <w:lang w:eastAsia="en-US"/>
        </w:rPr>
        <w:t>Pol</w:t>
      </w:r>
      <w:r w:rsidR="00C05A32" w:rsidRPr="00E3625F">
        <w:rPr>
          <w:vertAlign w:val="subscript"/>
          <w:lang w:eastAsia="en-US"/>
        </w:rPr>
        <w:t>Link</w:t>
      </w:r>
      <w:proofErr w:type="spellEnd"/>
      <w:r w:rsidR="00C05A32" w:rsidRPr="00E3625F">
        <w:rPr>
          <w:lang w:eastAsia="en-US"/>
        </w:rPr>
        <w:t xml:space="preserve"> = </w:t>
      </w:r>
      <w:r w:rsidR="00C05A32" w:rsidRPr="0005509D">
        <w:rPr>
          <w:lang w:eastAsia="en-US"/>
        </w:rPr>
        <w:t>θ</w:t>
      </w:r>
      <w:r w:rsidR="00C05A32">
        <w:rPr>
          <w:lang w:eastAsia="en-US"/>
        </w:rPr>
        <w:t xml:space="preserve">, P2) </w:t>
      </w:r>
      <w:r w:rsidR="00782166">
        <w:rPr>
          <w:lang w:eastAsia="en-US"/>
        </w:rPr>
        <w:t>a</w:t>
      </w:r>
      <w:r w:rsidRPr="00E3625F">
        <w:rPr>
          <w:lang w:eastAsia="en-US"/>
        </w:rPr>
        <w:t xml:space="preserve">nd </w:t>
      </w:r>
      <w:proofErr w:type="spellStart"/>
      <w:r w:rsidRPr="00E3625F">
        <w:rPr>
          <w:lang w:eastAsia="en-US"/>
        </w:rPr>
        <w:t>EIRP</w:t>
      </w:r>
      <w:r w:rsidR="000F154D" w:rsidRPr="00E3625F">
        <w:rPr>
          <w:vertAlign w:val="subscript"/>
          <w:lang w:eastAsia="en-US"/>
        </w:rPr>
        <w:t>φ</w:t>
      </w:r>
      <w:proofErr w:type="spellEnd"/>
      <w:r w:rsidR="00C05A32" w:rsidRPr="00E3625F">
        <w:rPr>
          <w:lang w:eastAsia="en-US"/>
        </w:rPr>
        <w:t xml:space="preserve"> </w:t>
      </w:r>
      <w:r w:rsidR="00C05A32">
        <w:rPr>
          <w:lang w:eastAsia="en-US"/>
        </w:rPr>
        <w:t>(</w:t>
      </w:r>
      <w:proofErr w:type="spellStart"/>
      <w:r w:rsidR="00C05A32" w:rsidRPr="00E3625F">
        <w:rPr>
          <w:lang w:eastAsia="en-US"/>
        </w:rPr>
        <w:t>Pol</w:t>
      </w:r>
      <w:r w:rsidR="00C05A32" w:rsidRPr="00E3625F">
        <w:rPr>
          <w:vertAlign w:val="subscript"/>
          <w:lang w:eastAsia="en-US"/>
        </w:rPr>
        <w:t>Link</w:t>
      </w:r>
      <w:proofErr w:type="spellEnd"/>
      <w:r w:rsidR="00C05A32" w:rsidRPr="00E3625F">
        <w:rPr>
          <w:lang w:eastAsia="en-US"/>
        </w:rPr>
        <w:t xml:space="preserve"> = </w:t>
      </w:r>
      <w:r w:rsidR="00C05A32" w:rsidRPr="0005509D">
        <w:rPr>
          <w:lang w:eastAsia="en-US"/>
        </w:rPr>
        <w:t>θ</w:t>
      </w:r>
      <w:r w:rsidR="00C05A32">
        <w:rPr>
          <w:lang w:eastAsia="en-US"/>
        </w:rPr>
        <w:t xml:space="preserve">, P2) </w:t>
      </w:r>
      <w:r w:rsidR="00C05A32" w:rsidRPr="00E3625F">
        <w:rPr>
          <w:lang w:eastAsia="en-US"/>
        </w:rPr>
        <w:t xml:space="preserve"> </w:t>
      </w:r>
    </w:p>
    <w:p w14:paraId="612D8340" w14:textId="60FE314B" w:rsidR="00825AED" w:rsidRPr="00E3625F" w:rsidRDefault="00904F79" w:rsidP="00E3625F">
      <w:pPr>
        <w:numPr>
          <w:ilvl w:val="1"/>
          <w:numId w:val="48"/>
        </w:numPr>
        <w:rPr>
          <w:lang w:eastAsia="en-US"/>
        </w:rPr>
      </w:pPr>
      <w:r w:rsidRPr="00E3625F">
        <w:rPr>
          <w:lang w:eastAsia="en-US"/>
        </w:rPr>
        <w:t>Perform the</w:t>
      </w:r>
      <w:r w:rsidR="00A90C63">
        <w:rPr>
          <w:lang w:eastAsia="en-US"/>
        </w:rPr>
        <w:t xml:space="preserve"> above</w:t>
      </w:r>
      <w:r w:rsidRPr="00E3625F">
        <w:rPr>
          <w:lang w:eastAsia="en-US"/>
        </w:rPr>
        <w:t xml:space="preserve"> steps for all </w:t>
      </w:r>
      <w:r w:rsidR="0041282F">
        <w:rPr>
          <w:lang w:eastAsia="en-US"/>
        </w:rPr>
        <w:t xml:space="preserve">remaining </w:t>
      </w:r>
      <w:r w:rsidRPr="00E3625F">
        <w:rPr>
          <w:lang w:eastAsia="en-US"/>
        </w:rPr>
        <w:t>points on the measurement grid and subsequently determine the TX beam peak direction by searching for the max</w:t>
      </w:r>
      <w:r w:rsidR="00C05A32">
        <w:rPr>
          <w:lang w:eastAsia="en-US"/>
        </w:rPr>
        <w:t>imum</w:t>
      </w:r>
      <w:r w:rsidRPr="00E3625F">
        <w:rPr>
          <w:lang w:eastAsia="en-US"/>
        </w:rPr>
        <w:t xml:space="preserve"> EIRP (total comp.)</w:t>
      </w:r>
      <w:r w:rsidR="00C05A32">
        <w:rPr>
          <w:lang w:eastAsia="en-US"/>
        </w:rPr>
        <w:t xml:space="preserve"> captured on each point of the measurement grid. </w:t>
      </w:r>
    </w:p>
    <w:p w14:paraId="405918D1" w14:textId="4128D4C4" w:rsidR="00C05A32" w:rsidRDefault="00C05A32" w:rsidP="00C05A32">
      <w:pPr>
        <w:rPr>
          <w:lang w:eastAsia="en-US"/>
        </w:rPr>
      </w:pPr>
      <w:r>
        <w:rPr>
          <w:lang w:eastAsia="en-US"/>
        </w:rPr>
        <w:t>A search procedure for the RX beam peak direction is performed in a very similar fashion</w:t>
      </w:r>
      <w:r w:rsidR="006D4FD6">
        <w:rPr>
          <w:lang w:eastAsia="en-US"/>
        </w:rPr>
        <w:t>. The procedure is the same as above; the EIRP measurement just has to be replaced by an RSRP measurement with the DL level at the center of the quiet zone fixed</w:t>
      </w:r>
      <w:r>
        <w:rPr>
          <w:lang w:eastAsia="en-US"/>
        </w:rPr>
        <w:t xml:space="preserve">. </w:t>
      </w:r>
    </w:p>
    <w:p w14:paraId="56772E6E" w14:textId="39629711" w:rsidR="009555E2" w:rsidRDefault="009555E2" w:rsidP="00C05A32">
      <w:pPr>
        <w:rPr>
          <w:lang w:eastAsia="en-US"/>
        </w:rPr>
      </w:pPr>
      <w:r>
        <w:rPr>
          <w:lang w:eastAsia="en-US"/>
        </w:rPr>
        <w:t xml:space="preserve">Since the TX beam peak search procedure captures a very large number of EIRP measurements in 3D to determine the TX beam peak direction used for a large variety of TX conformance test cases, it is proposed to use those measurements for the spherical coverage tests, i.e., perform the EIRP CDF analysis on the EIRP measurements used to determine the TX beam peak direction. </w:t>
      </w:r>
    </w:p>
    <w:p w14:paraId="164A418B" w14:textId="09B09269" w:rsidR="009555E2" w:rsidRPr="00285EA9" w:rsidRDefault="00BB1D06" w:rsidP="00C05A32">
      <w:pPr>
        <w:rPr>
          <w:b/>
          <w:lang w:eastAsia="en-US"/>
        </w:rPr>
      </w:pPr>
      <w:r>
        <w:rPr>
          <w:b/>
          <w:lang w:eastAsia="en-US"/>
        </w:rPr>
        <w:t>Proposal 4</w:t>
      </w:r>
      <w:r w:rsidR="009555E2" w:rsidRPr="00285EA9">
        <w:rPr>
          <w:b/>
          <w:lang w:eastAsia="en-US"/>
        </w:rPr>
        <w:t xml:space="preserve">: Re-use the EIRPs measured during the TX beam peak direction procedure for the spherical coverage test. </w:t>
      </w:r>
    </w:p>
    <w:bookmarkEnd w:id="0"/>
    <w:bookmarkEnd w:id="1"/>
    <w:p w14:paraId="6A30F3C3" w14:textId="5099893B" w:rsidR="00EE0AC3" w:rsidRPr="00DE4417" w:rsidRDefault="00F71811" w:rsidP="00EE0AC3">
      <w:pPr>
        <w:pStyle w:val="Heading1"/>
        <w:rPr>
          <w:rFonts w:cs="Arial"/>
        </w:rPr>
      </w:pPr>
      <w:r w:rsidRPr="00DE4417">
        <w:rPr>
          <w:rFonts w:cs="Arial"/>
        </w:rPr>
        <w:t>Proposals</w:t>
      </w:r>
    </w:p>
    <w:p w14:paraId="68462186" w14:textId="77777777" w:rsidR="005A7189" w:rsidRPr="005A7189" w:rsidRDefault="005A7189" w:rsidP="005A7189">
      <w:pPr>
        <w:rPr>
          <w:lang w:val="en-GB" w:eastAsia="en-US"/>
        </w:rPr>
      </w:pPr>
      <w:bookmarkStart w:id="5" w:name="_Ref473660868"/>
      <w:bookmarkStart w:id="6" w:name="_Ref473660708"/>
      <w:bookmarkStart w:id="7" w:name="OLE_LINK6"/>
      <w:bookmarkStart w:id="8" w:name="OLE_LINK7"/>
      <w:r w:rsidRPr="005A7189">
        <w:rPr>
          <w:lang w:val="en-GB" w:eastAsia="en-US"/>
        </w:rPr>
        <w:t>The following observations and proposals were made:</w:t>
      </w:r>
    </w:p>
    <w:p w14:paraId="34ACE150" w14:textId="4EECAA17" w:rsidR="005A7189" w:rsidRDefault="005A7189" w:rsidP="005A7189">
      <w:pPr>
        <w:rPr>
          <w:b/>
          <w:lang w:val="en-GB" w:eastAsia="en-US"/>
        </w:rPr>
      </w:pPr>
      <w:r w:rsidRPr="00D44A9A">
        <w:rPr>
          <w:b/>
          <w:lang w:val="en-GB" w:eastAsia="en-US"/>
        </w:rPr>
        <w:t>Proposal</w:t>
      </w:r>
      <w:r>
        <w:rPr>
          <w:b/>
          <w:lang w:val="en-GB" w:eastAsia="en-US"/>
        </w:rPr>
        <w:t xml:space="preserve"> 1: Consider TX (</w:t>
      </w:r>
      <w:r w:rsidRPr="00D44A9A">
        <w:rPr>
          <w:b/>
          <w:lang w:val="en-GB" w:eastAsia="en-US"/>
        </w:rPr>
        <w:t>RX</w:t>
      </w:r>
      <w:r>
        <w:rPr>
          <w:b/>
          <w:lang w:val="en-GB" w:eastAsia="en-US"/>
        </w:rPr>
        <w:t>)</w:t>
      </w:r>
      <w:r w:rsidRPr="00D44A9A">
        <w:rPr>
          <w:b/>
          <w:lang w:val="en-GB" w:eastAsia="en-US"/>
        </w:rPr>
        <w:t xml:space="preserve"> beam peak directions only </w:t>
      </w:r>
      <w:r>
        <w:rPr>
          <w:b/>
          <w:lang w:val="en-GB" w:eastAsia="en-US"/>
        </w:rPr>
        <w:t>for beam steering directions towards DL (UL) signals presented to the UE and disregard side lobes</w:t>
      </w:r>
    </w:p>
    <w:p w14:paraId="52228484" w14:textId="77777777" w:rsidR="005A7189" w:rsidRPr="001B3ED9" w:rsidRDefault="005A7189" w:rsidP="005A7189">
      <w:pPr>
        <w:rPr>
          <w:i/>
          <w:lang w:val="en-GB" w:eastAsia="en-US"/>
        </w:rPr>
      </w:pPr>
      <w:r w:rsidRPr="001B3ED9">
        <w:rPr>
          <w:i/>
          <w:lang w:val="en-GB" w:eastAsia="en-US"/>
        </w:rPr>
        <w:t xml:space="preserve">Observation 1: A very fine measurement grid is required to determine the beam peak direction for the TX and RX conformance test cases that are performance in the TX/RX beam peak directions. </w:t>
      </w:r>
    </w:p>
    <w:p w14:paraId="6D752971" w14:textId="77777777" w:rsidR="00BB1D06" w:rsidRDefault="00BB1D06" w:rsidP="00BB1D06">
      <w:pPr>
        <w:rPr>
          <w:b/>
          <w:lang w:val="en-GB" w:eastAsia="en-US"/>
        </w:rPr>
      </w:pPr>
      <w:r w:rsidRPr="001B3ED9">
        <w:rPr>
          <w:b/>
          <w:lang w:val="en-GB" w:eastAsia="en-US"/>
        </w:rPr>
        <w:t xml:space="preserve">Proposal </w:t>
      </w:r>
      <w:r>
        <w:rPr>
          <w:b/>
          <w:lang w:val="en-GB" w:eastAsia="en-US"/>
        </w:rPr>
        <w:t>2</w:t>
      </w:r>
      <w:r w:rsidRPr="001B3ED9">
        <w:rPr>
          <w:b/>
          <w:lang w:val="en-GB" w:eastAsia="en-US"/>
        </w:rPr>
        <w:t xml:space="preserve">: The measurement grid type </w:t>
      </w:r>
      <w:r>
        <w:rPr>
          <w:b/>
          <w:lang w:val="en-GB" w:eastAsia="en-US"/>
        </w:rPr>
        <w:t>is left up to system vendors.</w:t>
      </w:r>
    </w:p>
    <w:p w14:paraId="646A42FF" w14:textId="77777777" w:rsidR="00BB1D06" w:rsidRDefault="00BB1D06" w:rsidP="005A7189">
      <w:pPr>
        <w:rPr>
          <w:b/>
          <w:lang w:val="en-GB" w:eastAsia="en-US"/>
        </w:rPr>
      </w:pPr>
      <w:r>
        <w:rPr>
          <w:b/>
          <w:lang w:val="en-GB" w:eastAsia="en-US"/>
        </w:rPr>
        <w:t>Proposal 3: T</w:t>
      </w:r>
      <w:r w:rsidRPr="001B3ED9">
        <w:rPr>
          <w:b/>
          <w:lang w:val="en-GB" w:eastAsia="en-US"/>
        </w:rPr>
        <w:t xml:space="preserve">he </w:t>
      </w:r>
      <w:r>
        <w:rPr>
          <w:b/>
          <w:lang w:val="en-GB" w:eastAsia="en-US"/>
        </w:rPr>
        <w:t xml:space="preserve">minimum </w:t>
      </w:r>
      <w:r w:rsidRPr="001B3ED9">
        <w:rPr>
          <w:b/>
          <w:lang w:val="en-GB" w:eastAsia="en-US"/>
        </w:rPr>
        <w:t xml:space="preserve">number of measurement points to determine the TX and RX beam peak direction </w:t>
      </w:r>
      <w:r>
        <w:rPr>
          <w:b/>
          <w:lang w:val="en-GB" w:eastAsia="en-US"/>
        </w:rPr>
        <w:t xml:space="preserve">is TBD and needs to be </w:t>
      </w:r>
      <w:r>
        <w:rPr>
          <w:b/>
          <w:lang w:eastAsia="en-US"/>
        </w:rPr>
        <w:t>large</w:t>
      </w:r>
      <w:r>
        <w:rPr>
          <w:b/>
          <w:lang w:val="en-GB" w:eastAsia="en-US"/>
        </w:rPr>
        <w:t xml:space="preserve"> enough to capture the beam peak </w:t>
      </w:r>
      <w:r>
        <w:rPr>
          <w:b/>
          <w:lang w:eastAsia="en-US"/>
        </w:rPr>
        <w:t>direction accurately.</w:t>
      </w:r>
      <w:r w:rsidRPr="001B3ED9">
        <w:rPr>
          <w:b/>
          <w:lang w:val="en-GB" w:eastAsia="en-US"/>
        </w:rPr>
        <w:t xml:space="preserve"> </w:t>
      </w:r>
    </w:p>
    <w:p w14:paraId="21940633" w14:textId="2A75C1E6" w:rsidR="005A7189" w:rsidRPr="00285EA9" w:rsidRDefault="00BB1D06" w:rsidP="005A7189">
      <w:pPr>
        <w:rPr>
          <w:b/>
          <w:lang w:eastAsia="en-US"/>
        </w:rPr>
      </w:pPr>
      <w:r>
        <w:rPr>
          <w:b/>
          <w:lang w:eastAsia="en-US"/>
        </w:rPr>
        <w:lastRenderedPageBreak/>
        <w:t>Proposal 4</w:t>
      </w:r>
      <w:bookmarkStart w:id="9" w:name="_GoBack"/>
      <w:bookmarkEnd w:id="9"/>
      <w:r w:rsidR="005A7189" w:rsidRPr="00285EA9">
        <w:rPr>
          <w:b/>
          <w:lang w:eastAsia="en-US"/>
        </w:rPr>
        <w:t xml:space="preserve">: Re-use the EIRPs measured during the TX beam peak direction procedure for the spherical coverage test. </w:t>
      </w:r>
    </w:p>
    <w:p w14:paraId="1559997D" w14:textId="4AF64BAF" w:rsidR="00030A7F" w:rsidRPr="00DE4417" w:rsidRDefault="00030A7F" w:rsidP="00030A7F">
      <w:pPr>
        <w:pStyle w:val="Heading1"/>
        <w:numPr>
          <w:ilvl w:val="0"/>
          <w:numId w:val="0"/>
        </w:numPr>
        <w:ind w:left="432" w:hanging="432"/>
        <w:rPr>
          <w:rFonts w:cs="Arial"/>
        </w:rPr>
      </w:pPr>
      <w:r w:rsidRPr="00DE4417">
        <w:rPr>
          <w:rFonts w:cs="Arial"/>
        </w:rPr>
        <w:t>References</w:t>
      </w:r>
    </w:p>
    <w:p w14:paraId="0CBF061C" w14:textId="56CA30F3" w:rsidR="00CE6399" w:rsidRPr="00CE6399" w:rsidRDefault="00CE6399" w:rsidP="00CE6399">
      <w:pPr>
        <w:pStyle w:val="ListParagraph"/>
        <w:numPr>
          <w:ilvl w:val="0"/>
          <w:numId w:val="46"/>
        </w:numPr>
        <w:spacing w:after="0" w:line="240" w:lineRule="auto"/>
        <w:rPr>
          <w:lang w:val="en-GB"/>
        </w:rPr>
      </w:pPr>
      <w:bookmarkStart w:id="10" w:name="_Ref510437311"/>
      <w:r w:rsidRPr="00CE6399">
        <w:rPr>
          <w:lang w:val="en-GB"/>
        </w:rPr>
        <w:t>R4-1802336</w:t>
      </w:r>
      <w:r>
        <w:rPr>
          <w:lang w:val="en-GB"/>
        </w:rPr>
        <w:t xml:space="preserve">, </w:t>
      </w:r>
      <w:r w:rsidRPr="00CE6399">
        <w:rPr>
          <w:lang w:val="en-GB"/>
        </w:rPr>
        <w:t>On Peak Directions for FR2</w:t>
      </w:r>
      <w:r>
        <w:rPr>
          <w:lang w:val="en-GB"/>
        </w:rPr>
        <w:t>, Rohde&amp;Schwarz, 3GPP TSG RAN WG4 Meeting #86, February 2018</w:t>
      </w:r>
      <w:bookmarkEnd w:id="10"/>
    </w:p>
    <w:p w14:paraId="470959A4" w14:textId="56BFED0F" w:rsidR="00CE6399" w:rsidRPr="00DE4417" w:rsidRDefault="00CE6399" w:rsidP="00CE6399">
      <w:pPr>
        <w:pStyle w:val="ListParagraph"/>
        <w:numPr>
          <w:ilvl w:val="0"/>
          <w:numId w:val="46"/>
        </w:numPr>
        <w:spacing w:after="0" w:line="240" w:lineRule="auto"/>
        <w:rPr>
          <w:lang w:val="en-GB"/>
        </w:rPr>
      </w:pPr>
      <w:r w:rsidRPr="00CE6399">
        <w:rPr>
          <w:lang w:val="en-GB"/>
        </w:rPr>
        <w:t>R4-1803365</w:t>
      </w:r>
      <w:r>
        <w:rPr>
          <w:lang w:val="en-GB"/>
        </w:rPr>
        <w:t xml:space="preserve">, </w:t>
      </w:r>
      <w:r w:rsidRPr="00CE6399">
        <w:rPr>
          <w:lang w:val="en-GB"/>
        </w:rPr>
        <w:t>Draft CR to 38.101-2: Clarification on REFSENS Definition</w:t>
      </w:r>
      <w:r>
        <w:rPr>
          <w:lang w:val="en-GB"/>
        </w:rPr>
        <w:t>, Rohde&amp;Schwarz, 3GPP TSG RAN WG4 Meeting #86, February 2018</w:t>
      </w:r>
    </w:p>
    <w:p w14:paraId="75BABAD2" w14:textId="492069E1" w:rsidR="00571E93" w:rsidRDefault="00CE6399" w:rsidP="00CE6399">
      <w:pPr>
        <w:pStyle w:val="ListParagraph"/>
        <w:numPr>
          <w:ilvl w:val="0"/>
          <w:numId w:val="46"/>
        </w:numPr>
        <w:spacing w:after="0" w:line="240" w:lineRule="auto"/>
        <w:rPr>
          <w:lang w:val="en-GB"/>
        </w:rPr>
      </w:pPr>
      <w:bookmarkStart w:id="11" w:name="_Ref510437317"/>
      <w:r w:rsidRPr="00CE6399">
        <w:rPr>
          <w:lang w:val="en-GB"/>
        </w:rPr>
        <w:t>R4-1802339</w:t>
      </w:r>
      <w:r>
        <w:rPr>
          <w:lang w:val="en-GB"/>
        </w:rPr>
        <w:t xml:space="preserve">, </w:t>
      </w:r>
      <w:r w:rsidRPr="00CE6399">
        <w:rPr>
          <w:lang w:val="en-GB"/>
        </w:rPr>
        <w:t>Draft CR to 38.101-2: Clarifications on peak directions</w:t>
      </w:r>
      <w:r>
        <w:rPr>
          <w:lang w:val="en-GB"/>
        </w:rPr>
        <w:t>, Rohde&amp;Schwarz, 3GPP TSG RAN WG4 Meeting #86, February 2018</w:t>
      </w:r>
      <w:bookmarkEnd w:id="11"/>
    </w:p>
    <w:p w14:paraId="4540A9D2" w14:textId="497C3AAE" w:rsidR="004505B1" w:rsidRDefault="004505B1" w:rsidP="004505B1">
      <w:pPr>
        <w:pStyle w:val="ListParagraph"/>
        <w:numPr>
          <w:ilvl w:val="0"/>
          <w:numId w:val="46"/>
        </w:numPr>
        <w:spacing w:after="0" w:line="240" w:lineRule="auto"/>
        <w:rPr>
          <w:lang w:val="en-GB"/>
        </w:rPr>
      </w:pPr>
      <w:bookmarkStart w:id="12" w:name="_Ref510438748"/>
      <w:r w:rsidRPr="004505B1">
        <w:rPr>
          <w:lang w:val="en-GB"/>
        </w:rPr>
        <w:t>R4-1803419</w:t>
      </w:r>
      <w:r>
        <w:rPr>
          <w:lang w:val="en-GB"/>
        </w:rPr>
        <w:t xml:space="preserve">, </w:t>
      </w:r>
      <w:r w:rsidRPr="004505B1">
        <w:rPr>
          <w:lang w:val="en-GB"/>
        </w:rPr>
        <w:t>TP on Testing and Calibration Aspects for Baseline System</w:t>
      </w:r>
      <w:r>
        <w:rPr>
          <w:lang w:val="en-GB"/>
        </w:rPr>
        <w:t>, Rohde&amp;Schwarz, 3GPP TSG RAN WG4 Meeting #86, February 2018</w:t>
      </w:r>
      <w:bookmarkEnd w:id="12"/>
    </w:p>
    <w:p w14:paraId="3DE40DF4" w14:textId="0C4B7ECE" w:rsidR="009A17E0" w:rsidRPr="003C4D9F" w:rsidRDefault="009A17E0" w:rsidP="003C4D9F">
      <w:pPr>
        <w:pStyle w:val="ListParagraph"/>
        <w:numPr>
          <w:ilvl w:val="0"/>
          <w:numId w:val="46"/>
        </w:numPr>
        <w:spacing w:after="0" w:line="240" w:lineRule="auto"/>
        <w:rPr>
          <w:lang w:val="en-GB"/>
        </w:rPr>
      </w:pPr>
      <w:bookmarkStart w:id="13" w:name="_Ref510439813"/>
      <w:r w:rsidRPr="009A17E0">
        <w:rPr>
          <w:lang w:val="en-GB"/>
        </w:rPr>
        <w:t>R4-1801811</w:t>
      </w:r>
      <w:r>
        <w:rPr>
          <w:lang w:val="en-GB"/>
        </w:rPr>
        <w:t xml:space="preserve">, </w:t>
      </w:r>
      <w:r w:rsidRPr="009A17E0">
        <w:rPr>
          <w:lang w:val="en-GB"/>
        </w:rPr>
        <w:t>Proposals on concluding the SI</w:t>
      </w:r>
      <w:r>
        <w:rPr>
          <w:lang w:val="en-GB"/>
        </w:rPr>
        <w:t xml:space="preserve">, </w:t>
      </w:r>
      <w:r w:rsidRPr="009A17E0">
        <w:rPr>
          <w:lang w:val="en-GB"/>
        </w:rPr>
        <w:t>Intel Corporation, SGS Wireless, CATR</w:t>
      </w:r>
      <w:r>
        <w:rPr>
          <w:lang w:val="en-GB"/>
        </w:rPr>
        <w:t>, 3GPP TSG RAN WG4 Meeting #86, February 2018</w:t>
      </w:r>
      <w:bookmarkEnd w:id="5"/>
      <w:bookmarkEnd w:id="6"/>
      <w:bookmarkEnd w:id="7"/>
      <w:bookmarkEnd w:id="8"/>
      <w:bookmarkEnd w:id="13"/>
    </w:p>
    <w:sectPr w:rsidR="009A17E0" w:rsidRPr="003C4D9F" w:rsidSect="003838EA">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0A59A" w14:textId="77777777" w:rsidR="001A1733" w:rsidRDefault="001A1733" w:rsidP="00371D7D">
      <w:r>
        <w:separator/>
      </w:r>
    </w:p>
  </w:endnote>
  <w:endnote w:type="continuationSeparator" w:id="0">
    <w:p w14:paraId="1FD5979E" w14:textId="77777777" w:rsidR="001A1733" w:rsidRDefault="001A1733"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9272642"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BB1D06">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02B72" w14:textId="77777777" w:rsidR="001A1733" w:rsidRDefault="001A1733" w:rsidP="00371D7D">
      <w:r>
        <w:separator/>
      </w:r>
    </w:p>
  </w:footnote>
  <w:footnote w:type="continuationSeparator" w:id="0">
    <w:p w14:paraId="575668A6" w14:textId="77777777" w:rsidR="001A1733" w:rsidRDefault="001A1733"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C23186D"/>
    <w:multiLevelType w:val="hybridMultilevel"/>
    <w:tmpl w:val="651E930E"/>
    <w:lvl w:ilvl="0" w:tplc="F93E6BB8">
      <w:start w:val="1"/>
      <w:numFmt w:val="bullet"/>
      <w:lvlText w:val=""/>
      <w:lvlJc w:val="left"/>
      <w:pPr>
        <w:tabs>
          <w:tab w:val="num" w:pos="720"/>
        </w:tabs>
        <w:ind w:left="720" w:hanging="360"/>
      </w:pPr>
      <w:rPr>
        <w:rFonts w:ascii="Wingdings" w:hAnsi="Wingdings" w:hint="default"/>
      </w:rPr>
    </w:lvl>
    <w:lvl w:ilvl="1" w:tplc="D700BD38">
      <w:start w:val="1"/>
      <w:numFmt w:val="bullet"/>
      <w:lvlText w:val=""/>
      <w:lvlJc w:val="left"/>
      <w:pPr>
        <w:tabs>
          <w:tab w:val="num" w:pos="1440"/>
        </w:tabs>
        <w:ind w:left="1440" w:hanging="360"/>
      </w:pPr>
      <w:rPr>
        <w:rFonts w:ascii="Wingdings" w:hAnsi="Wingdings" w:hint="default"/>
      </w:rPr>
    </w:lvl>
    <w:lvl w:ilvl="2" w:tplc="90FEDED8" w:tentative="1">
      <w:start w:val="1"/>
      <w:numFmt w:val="bullet"/>
      <w:lvlText w:val=""/>
      <w:lvlJc w:val="left"/>
      <w:pPr>
        <w:tabs>
          <w:tab w:val="num" w:pos="2160"/>
        </w:tabs>
        <w:ind w:left="2160" w:hanging="360"/>
      </w:pPr>
      <w:rPr>
        <w:rFonts w:ascii="Wingdings" w:hAnsi="Wingdings" w:hint="default"/>
      </w:rPr>
    </w:lvl>
    <w:lvl w:ilvl="3" w:tplc="C10EAFB0" w:tentative="1">
      <w:start w:val="1"/>
      <w:numFmt w:val="bullet"/>
      <w:lvlText w:val=""/>
      <w:lvlJc w:val="left"/>
      <w:pPr>
        <w:tabs>
          <w:tab w:val="num" w:pos="2880"/>
        </w:tabs>
        <w:ind w:left="2880" w:hanging="360"/>
      </w:pPr>
      <w:rPr>
        <w:rFonts w:ascii="Wingdings" w:hAnsi="Wingdings" w:hint="default"/>
      </w:rPr>
    </w:lvl>
    <w:lvl w:ilvl="4" w:tplc="A0CEAD4E" w:tentative="1">
      <w:start w:val="1"/>
      <w:numFmt w:val="bullet"/>
      <w:lvlText w:val=""/>
      <w:lvlJc w:val="left"/>
      <w:pPr>
        <w:tabs>
          <w:tab w:val="num" w:pos="3600"/>
        </w:tabs>
        <w:ind w:left="3600" w:hanging="360"/>
      </w:pPr>
      <w:rPr>
        <w:rFonts w:ascii="Wingdings" w:hAnsi="Wingdings" w:hint="default"/>
      </w:rPr>
    </w:lvl>
    <w:lvl w:ilvl="5" w:tplc="2102CD28" w:tentative="1">
      <w:start w:val="1"/>
      <w:numFmt w:val="bullet"/>
      <w:lvlText w:val=""/>
      <w:lvlJc w:val="left"/>
      <w:pPr>
        <w:tabs>
          <w:tab w:val="num" w:pos="4320"/>
        </w:tabs>
        <w:ind w:left="4320" w:hanging="360"/>
      </w:pPr>
      <w:rPr>
        <w:rFonts w:ascii="Wingdings" w:hAnsi="Wingdings" w:hint="default"/>
      </w:rPr>
    </w:lvl>
    <w:lvl w:ilvl="6" w:tplc="23FCEDEC" w:tentative="1">
      <w:start w:val="1"/>
      <w:numFmt w:val="bullet"/>
      <w:lvlText w:val=""/>
      <w:lvlJc w:val="left"/>
      <w:pPr>
        <w:tabs>
          <w:tab w:val="num" w:pos="5040"/>
        </w:tabs>
        <w:ind w:left="5040" w:hanging="360"/>
      </w:pPr>
      <w:rPr>
        <w:rFonts w:ascii="Wingdings" w:hAnsi="Wingdings" w:hint="default"/>
      </w:rPr>
    </w:lvl>
    <w:lvl w:ilvl="7" w:tplc="206647F6" w:tentative="1">
      <w:start w:val="1"/>
      <w:numFmt w:val="bullet"/>
      <w:lvlText w:val=""/>
      <w:lvlJc w:val="left"/>
      <w:pPr>
        <w:tabs>
          <w:tab w:val="num" w:pos="5760"/>
        </w:tabs>
        <w:ind w:left="5760" w:hanging="360"/>
      </w:pPr>
      <w:rPr>
        <w:rFonts w:ascii="Wingdings" w:hAnsi="Wingdings" w:hint="default"/>
      </w:rPr>
    </w:lvl>
    <w:lvl w:ilvl="8" w:tplc="23582BA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7"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8"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1"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5"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15"/>
  </w:num>
  <w:num w:numId="3">
    <w:abstractNumId w:val="20"/>
  </w:num>
  <w:num w:numId="4">
    <w:abstractNumId w:val="32"/>
  </w:num>
  <w:num w:numId="5">
    <w:abstractNumId w:val="20"/>
  </w:num>
  <w:num w:numId="6">
    <w:abstractNumId w:val="20"/>
  </w:num>
  <w:num w:numId="7">
    <w:abstractNumId w:val="20"/>
  </w:num>
  <w:num w:numId="8">
    <w:abstractNumId w:val="20"/>
  </w:num>
  <w:num w:numId="9">
    <w:abstractNumId w:val="19"/>
  </w:num>
  <w:num w:numId="10">
    <w:abstractNumId w:val="21"/>
  </w:num>
  <w:num w:numId="11">
    <w:abstractNumId w:val="18"/>
  </w:num>
  <w:num w:numId="12">
    <w:abstractNumId w:val="17"/>
  </w:num>
  <w:num w:numId="13">
    <w:abstractNumId w:val="35"/>
  </w:num>
  <w:num w:numId="14">
    <w:abstractNumId w:val="20"/>
  </w:num>
  <w:num w:numId="15">
    <w:abstractNumId w:val="28"/>
  </w:num>
  <w:num w:numId="16">
    <w:abstractNumId w:val="14"/>
  </w:num>
  <w:num w:numId="17">
    <w:abstractNumId w:val="11"/>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3"/>
  </w:num>
  <w:num w:numId="23">
    <w:abstractNumId w:val="20"/>
  </w:num>
  <w:num w:numId="24">
    <w:abstractNumId w:val="12"/>
  </w:num>
  <w:num w:numId="25">
    <w:abstractNumId w:val="13"/>
  </w:num>
  <w:num w:numId="26">
    <w:abstractNumId w:val="20"/>
  </w:num>
  <w:num w:numId="27">
    <w:abstractNumId w:val="22"/>
  </w:num>
  <w:num w:numId="28">
    <w:abstractNumId w:val="5"/>
  </w:num>
  <w:num w:numId="29">
    <w:abstractNumId w:val="26"/>
  </w:num>
  <w:num w:numId="30">
    <w:abstractNumId w:val="31"/>
  </w:num>
  <w:num w:numId="31">
    <w:abstractNumId w:val="30"/>
  </w:num>
  <w:num w:numId="32">
    <w:abstractNumId w:val="9"/>
  </w:num>
  <w:num w:numId="33">
    <w:abstractNumId w:val="37"/>
  </w:num>
  <w:num w:numId="34">
    <w:abstractNumId w:val="4"/>
  </w:num>
  <w:num w:numId="35">
    <w:abstractNumId w:val="16"/>
  </w:num>
  <w:num w:numId="36">
    <w:abstractNumId w:val="29"/>
  </w:num>
  <w:num w:numId="37">
    <w:abstractNumId w:val="24"/>
  </w:num>
  <w:num w:numId="38">
    <w:abstractNumId w:val="36"/>
  </w:num>
  <w:num w:numId="39">
    <w:abstractNumId w:val="27"/>
  </w:num>
  <w:num w:numId="40">
    <w:abstractNumId w:val="34"/>
  </w:num>
  <w:num w:numId="41">
    <w:abstractNumId w:val="25"/>
  </w:num>
  <w:num w:numId="42">
    <w:abstractNumId w:val="20"/>
  </w:num>
  <w:num w:numId="43">
    <w:abstractNumId w:val="20"/>
  </w:num>
  <w:num w:numId="44">
    <w:abstractNumId w:val="2"/>
  </w:num>
  <w:num w:numId="45">
    <w:abstractNumId w:val="8"/>
  </w:num>
  <w:num w:numId="46">
    <w:abstractNumId w:val="10"/>
  </w:num>
  <w:num w:numId="47">
    <w:abstractNumId w:val="0"/>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2CF5"/>
    <w:rsid w:val="00075135"/>
    <w:rsid w:val="000762B7"/>
    <w:rsid w:val="00076F79"/>
    <w:rsid w:val="000814E4"/>
    <w:rsid w:val="00081C35"/>
    <w:rsid w:val="000828B5"/>
    <w:rsid w:val="00082A5B"/>
    <w:rsid w:val="0008608A"/>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154D"/>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102"/>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1733"/>
    <w:rsid w:val="001A2E0D"/>
    <w:rsid w:val="001B0670"/>
    <w:rsid w:val="001B0742"/>
    <w:rsid w:val="001B137F"/>
    <w:rsid w:val="001B2191"/>
    <w:rsid w:val="001B3ED9"/>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4E39"/>
    <w:rsid w:val="001F5452"/>
    <w:rsid w:val="001F6CC0"/>
    <w:rsid w:val="002037AC"/>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3B61"/>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5EA9"/>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42D"/>
    <w:rsid w:val="002B5523"/>
    <w:rsid w:val="002B5708"/>
    <w:rsid w:val="002B5F65"/>
    <w:rsid w:val="002B7900"/>
    <w:rsid w:val="002C098B"/>
    <w:rsid w:val="002C3A4F"/>
    <w:rsid w:val="002C48E9"/>
    <w:rsid w:val="002C75A4"/>
    <w:rsid w:val="002D0C60"/>
    <w:rsid w:val="002D394E"/>
    <w:rsid w:val="002D5691"/>
    <w:rsid w:val="002E0D1B"/>
    <w:rsid w:val="002E1075"/>
    <w:rsid w:val="002E26E6"/>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BD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9F"/>
    <w:rsid w:val="003C4DDA"/>
    <w:rsid w:val="003C5B3F"/>
    <w:rsid w:val="003D0E5C"/>
    <w:rsid w:val="003D51E6"/>
    <w:rsid w:val="003D602B"/>
    <w:rsid w:val="003D7784"/>
    <w:rsid w:val="003D7B2C"/>
    <w:rsid w:val="003E12B0"/>
    <w:rsid w:val="003E1A65"/>
    <w:rsid w:val="003E2565"/>
    <w:rsid w:val="003E5779"/>
    <w:rsid w:val="003F0E6E"/>
    <w:rsid w:val="003F1A78"/>
    <w:rsid w:val="003F426A"/>
    <w:rsid w:val="004002C9"/>
    <w:rsid w:val="004033E9"/>
    <w:rsid w:val="004120AE"/>
    <w:rsid w:val="0041282F"/>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05B1"/>
    <w:rsid w:val="00451093"/>
    <w:rsid w:val="00455988"/>
    <w:rsid w:val="00457EE8"/>
    <w:rsid w:val="00460804"/>
    <w:rsid w:val="004614C5"/>
    <w:rsid w:val="0046181B"/>
    <w:rsid w:val="004624D0"/>
    <w:rsid w:val="0046280F"/>
    <w:rsid w:val="004641CE"/>
    <w:rsid w:val="00465DA7"/>
    <w:rsid w:val="0046755F"/>
    <w:rsid w:val="00470182"/>
    <w:rsid w:val="00473048"/>
    <w:rsid w:val="00474149"/>
    <w:rsid w:val="00475793"/>
    <w:rsid w:val="00477362"/>
    <w:rsid w:val="00477BB8"/>
    <w:rsid w:val="00480E62"/>
    <w:rsid w:val="00481B3C"/>
    <w:rsid w:val="004858E1"/>
    <w:rsid w:val="00485AB7"/>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A7B67"/>
    <w:rsid w:val="004B0619"/>
    <w:rsid w:val="004B0EE9"/>
    <w:rsid w:val="004B4C96"/>
    <w:rsid w:val="004C0EA3"/>
    <w:rsid w:val="004C3985"/>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4B54"/>
    <w:rsid w:val="005964E4"/>
    <w:rsid w:val="005A04AB"/>
    <w:rsid w:val="005A7189"/>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42A9"/>
    <w:rsid w:val="00645237"/>
    <w:rsid w:val="006466C9"/>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57"/>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D4FD6"/>
    <w:rsid w:val="006E1A7C"/>
    <w:rsid w:val="006E1D64"/>
    <w:rsid w:val="006E4F64"/>
    <w:rsid w:val="006E5BCE"/>
    <w:rsid w:val="006E6577"/>
    <w:rsid w:val="006E7C54"/>
    <w:rsid w:val="006F1D3A"/>
    <w:rsid w:val="006F2C16"/>
    <w:rsid w:val="006F4D66"/>
    <w:rsid w:val="006F563A"/>
    <w:rsid w:val="006F73CF"/>
    <w:rsid w:val="006F7449"/>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720"/>
    <w:rsid w:val="00735D1F"/>
    <w:rsid w:val="0073610E"/>
    <w:rsid w:val="00736A55"/>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166"/>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D6BD9"/>
    <w:rsid w:val="007E144D"/>
    <w:rsid w:val="007E1A21"/>
    <w:rsid w:val="007E29DD"/>
    <w:rsid w:val="007E47C9"/>
    <w:rsid w:val="007E542F"/>
    <w:rsid w:val="007E6D3C"/>
    <w:rsid w:val="007E74D3"/>
    <w:rsid w:val="007E75B3"/>
    <w:rsid w:val="007F603F"/>
    <w:rsid w:val="007F63B8"/>
    <w:rsid w:val="00802A02"/>
    <w:rsid w:val="00802F82"/>
    <w:rsid w:val="00803ADC"/>
    <w:rsid w:val="00803D35"/>
    <w:rsid w:val="00804D3E"/>
    <w:rsid w:val="008064E5"/>
    <w:rsid w:val="00811A7C"/>
    <w:rsid w:val="00814716"/>
    <w:rsid w:val="00815718"/>
    <w:rsid w:val="008159B1"/>
    <w:rsid w:val="008211B6"/>
    <w:rsid w:val="008222DF"/>
    <w:rsid w:val="00825AED"/>
    <w:rsid w:val="00825E45"/>
    <w:rsid w:val="00831E58"/>
    <w:rsid w:val="0083554F"/>
    <w:rsid w:val="00836315"/>
    <w:rsid w:val="00837DB8"/>
    <w:rsid w:val="00844428"/>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48C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04F79"/>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3CC2"/>
    <w:rsid w:val="0095468A"/>
    <w:rsid w:val="009555E2"/>
    <w:rsid w:val="0095562A"/>
    <w:rsid w:val="00962E59"/>
    <w:rsid w:val="00965D58"/>
    <w:rsid w:val="00966E9B"/>
    <w:rsid w:val="009750F0"/>
    <w:rsid w:val="0097543A"/>
    <w:rsid w:val="00975F20"/>
    <w:rsid w:val="00976B03"/>
    <w:rsid w:val="00984C8B"/>
    <w:rsid w:val="009863CE"/>
    <w:rsid w:val="00987740"/>
    <w:rsid w:val="00987C1F"/>
    <w:rsid w:val="00991D96"/>
    <w:rsid w:val="009926B6"/>
    <w:rsid w:val="00992ACD"/>
    <w:rsid w:val="0099496E"/>
    <w:rsid w:val="00997680"/>
    <w:rsid w:val="009A1270"/>
    <w:rsid w:val="009A17E0"/>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6DBE"/>
    <w:rsid w:val="00A777EC"/>
    <w:rsid w:val="00A8311E"/>
    <w:rsid w:val="00A86604"/>
    <w:rsid w:val="00A87C7B"/>
    <w:rsid w:val="00A90C63"/>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1E41"/>
    <w:rsid w:val="00B13078"/>
    <w:rsid w:val="00B130F2"/>
    <w:rsid w:val="00B14D30"/>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2B2"/>
    <w:rsid w:val="00B548F0"/>
    <w:rsid w:val="00B57FE5"/>
    <w:rsid w:val="00B60110"/>
    <w:rsid w:val="00B61206"/>
    <w:rsid w:val="00B618F7"/>
    <w:rsid w:val="00B61E2A"/>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1A1"/>
    <w:rsid w:val="00B92991"/>
    <w:rsid w:val="00B92F4B"/>
    <w:rsid w:val="00B96064"/>
    <w:rsid w:val="00B9692F"/>
    <w:rsid w:val="00B97827"/>
    <w:rsid w:val="00BA1072"/>
    <w:rsid w:val="00BB0FAA"/>
    <w:rsid w:val="00BB1D06"/>
    <w:rsid w:val="00BB1E78"/>
    <w:rsid w:val="00BB2E34"/>
    <w:rsid w:val="00BB567F"/>
    <w:rsid w:val="00BB601B"/>
    <w:rsid w:val="00BB61DB"/>
    <w:rsid w:val="00BB6A4C"/>
    <w:rsid w:val="00BC0823"/>
    <w:rsid w:val="00BC0850"/>
    <w:rsid w:val="00BC08FC"/>
    <w:rsid w:val="00BD0D1A"/>
    <w:rsid w:val="00BD1095"/>
    <w:rsid w:val="00BD13E2"/>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5A32"/>
    <w:rsid w:val="00C074A2"/>
    <w:rsid w:val="00C142E1"/>
    <w:rsid w:val="00C14F5D"/>
    <w:rsid w:val="00C16A1B"/>
    <w:rsid w:val="00C17B71"/>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625"/>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1540"/>
    <w:rsid w:val="00CA2954"/>
    <w:rsid w:val="00CA3F79"/>
    <w:rsid w:val="00CA42E6"/>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399"/>
    <w:rsid w:val="00CE6A12"/>
    <w:rsid w:val="00CE7B33"/>
    <w:rsid w:val="00CF23C9"/>
    <w:rsid w:val="00CF2728"/>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A9A"/>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77E12"/>
    <w:rsid w:val="00D8000F"/>
    <w:rsid w:val="00D81F96"/>
    <w:rsid w:val="00D821C8"/>
    <w:rsid w:val="00D83973"/>
    <w:rsid w:val="00D858B7"/>
    <w:rsid w:val="00D930F3"/>
    <w:rsid w:val="00D9321A"/>
    <w:rsid w:val="00D97826"/>
    <w:rsid w:val="00DA1520"/>
    <w:rsid w:val="00DA1931"/>
    <w:rsid w:val="00DA326D"/>
    <w:rsid w:val="00DA613F"/>
    <w:rsid w:val="00DB12A0"/>
    <w:rsid w:val="00DB1476"/>
    <w:rsid w:val="00DB18A0"/>
    <w:rsid w:val="00DB29DE"/>
    <w:rsid w:val="00DB3DD2"/>
    <w:rsid w:val="00DB5A35"/>
    <w:rsid w:val="00DB67BF"/>
    <w:rsid w:val="00DC0885"/>
    <w:rsid w:val="00DC0BAC"/>
    <w:rsid w:val="00DC1416"/>
    <w:rsid w:val="00DC3360"/>
    <w:rsid w:val="00DC3C51"/>
    <w:rsid w:val="00DC44AE"/>
    <w:rsid w:val="00DC45E9"/>
    <w:rsid w:val="00DC5A49"/>
    <w:rsid w:val="00DC5FBC"/>
    <w:rsid w:val="00DC755B"/>
    <w:rsid w:val="00DD0E61"/>
    <w:rsid w:val="00DD1B9D"/>
    <w:rsid w:val="00DD44FC"/>
    <w:rsid w:val="00DD6E41"/>
    <w:rsid w:val="00DD74FF"/>
    <w:rsid w:val="00DE1186"/>
    <w:rsid w:val="00DE3025"/>
    <w:rsid w:val="00DE4417"/>
    <w:rsid w:val="00DE4E25"/>
    <w:rsid w:val="00DE6819"/>
    <w:rsid w:val="00DF19E8"/>
    <w:rsid w:val="00DF49A8"/>
    <w:rsid w:val="00E03811"/>
    <w:rsid w:val="00E03F84"/>
    <w:rsid w:val="00E078EA"/>
    <w:rsid w:val="00E10AF0"/>
    <w:rsid w:val="00E10B00"/>
    <w:rsid w:val="00E11816"/>
    <w:rsid w:val="00E13759"/>
    <w:rsid w:val="00E13D12"/>
    <w:rsid w:val="00E15476"/>
    <w:rsid w:val="00E15AC0"/>
    <w:rsid w:val="00E173CA"/>
    <w:rsid w:val="00E17716"/>
    <w:rsid w:val="00E2017F"/>
    <w:rsid w:val="00E2075D"/>
    <w:rsid w:val="00E2514A"/>
    <w:rsid w:val="00E25B32"/>
    <w:rsid w:val="00E25BB0"/>
    <w:rsid w:val="00E25EF1"/>
    <w:rsid w:val="00E25F9C"/>
    <w:rsid w:val="00E32C7A"/>
    <w:rsid w:val="00E33028"/>
    <w:rsid w:val="00E34070"/>
    <w:rsid w:val="00E35411"/>
    <w:rsid w:val="00E3625F"/>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2B93"/>
    <w:rsid w:val="00F0327E"/>
    <w:rsid w:val="00F06974"/>
    <w:rsid w:val="00F07012"/>
    <w:rsid w:val="00F0740A"/>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0151"/>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5279"/>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B1">
    <w:name w:val="B1"/>
    <w:basedOn w:val="List"/>
    <w:link w:val="B1Char"/>
    <w:rsid w:val="00D77E12"/>
    <w:pPr>
      <w:overflowPunct w:val="0"/>
      <w:autoSpaceDE w:val="0"/>
      <w:autoSpaceDN w:val="0"/>
      <w:adjustRightInd w:val="0"/>
      <w:spacing w:after="180" w:line="240" w:lineRule="auto"/>
      <w:ind w:left="738" w:hanging="454"/>
      <w:contextualSpacing w:val="0"/>
      <w:textAlignment w:val="baseline"/>
    </w:pPr>
    <w:rPr>
      <w:rFonts w:ascii="Times New Roman" w:eastAsia="Times New Roman" w:hAnsi="Times New Roman" w:cs="Times New Roman"/>
      <w:sz w:val="20"/>
      <w:szCs w:val="20"/>
      <w:lang w:val="en-GB" w:eastAsia="en-US"/>
    </w:rPr>
  </w:style>
  <w:style w:type="character" w:customStyle="1" w:styleId="B1Char">
    <w:name w:val="B1 Char"/>
    <w:link w:val="B1"/>
    <w:locked/>
    <w:rsid w:val="00D77E12"/>
    <w:rPr>
      <w:rFonts w:ascii="Times New Roman" w:eastAsia="Times New Roman" w:hAnsi="Times New Roman"/>
      <w:lang w:val="en-GB" w:eastAsia="en-US"/>
    </w:rPr>
  </w:style>
  <w:style w:type="paragraph" w:styleId="List">
    <w:name w:val="List"/>
    <w:basedOn w:val="Normal"/>
    <w:uiPriority w:val="99"/>
    <w:semiHidden/>
    <w:unhideWhenUsed/>
    <w:rsid w:val="00D77E12"/>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1103101">
      <w:bodyDiv w:val="1"/>
      <w:marLeft w:val="0"/>
      <w:marRight w:val="0"/>
      <w:marTop w:val="0"/>
      <w:marBottom w:val="0"/>
      <w:divBdr>
        <w:top w:val="none" w:sz="0" w:space="0" w:color="auto"/>
        <w:left w:val="none" w:sz="0" w:space="0" w:color="auto"/>
        <w:bottom w:val="none" w:sz="0" w:space="0" w:color="auto"/>
        <w:right w:val="none" w:sz="0" w:space="0" w:color="auto"/>
      </w:divBdr>
      <w:divsChild>
        <w:div w:id="605819044">
          <w:marLeft w:val="562"/>
          <w:marRight w:val="0"/>
          <w:marTop w:val="0"/>
          <w:marBottom w:val="0"/>
          <w:divBdr>
            <w:top w:val="none" w:sz="0" w:space="0" w:color="auto"/>
            <w:left w:val="none" w:sz="0" w:space="0" w:color="auto"/>
            <w:bottom w:val="none" w:sz="0" w:space="0" w:color="auto"/>
            <w:right w:val="none" w:sz="0" w:space="0" w:color="auto"/>
          </w:divBdr>
        </w:div>
        <w:div w:id="1668706105">
          <w:marLeft w:val="562"/>
          <w:marRight w:val="0"/>
          <w:marTop w:val="0"/>
          <w:marBottom w:val="0"/>
          <w:divBdr>
            <w:top w:val="none" w:sz="0" w:space="0" w:color="auto"/>
            <w:left w:val="none" w:sz="0" w:space="0" w:color="auto"/>
            <w:bottom w:val="none" w:sz="0" w:space="0" w:color="auto"/>
            <w:right w:val="none" w:sz="0" w:space="0" w:color="auto"/>
          </w:divBdr>
        </w:div>
        <w:div w:id="1954970564">
          <w:marLeft w:val="562"/>
          <w:marRight w:val="0"/>
          <w:marTop w:val="0"/>
          <w:marBottom w:val="0"/>
          <w:divBdr>
            <w:top w:val="none" w:sz="0" w:space="0" w:color="auto"/>
            <w:left w:val="none" w:sz="0" w:space="0" w:color="auto"/>
            <w:bottom w:val="none" w:sz="0" w:space="0" w:color="auto"/>
            <w:right w:val="none" w:sz="0" w:space="0" w:color="auto"/>
          </w:divBdr>
        </w:div>
        <w:div w:id="1442610247">
          <w:marLeft w:val="562"/>
          <w:marRight w:val="0"/>
          <w:marTop w:val="0"/>
          <w:marBottom w:val="0"/>
          <w:divBdr>
            <w:top w:val="none" w:sz="0" w:space="0" w:color="auto"/>
            <w:left w:val="none" w:sz="0" w:space="0" w:color="auto"/>
            <w:bottom w:val="none" w:sz="0" w:space="0" w:color="auto"/>
            <w:right w:val="none" w:sz="0" w:space="0" w:color="auto"/>
          </w:divBdr>
        </w:div>
        <w:div w:id="1691182032">
          <w:marLeft w:val="562"/>
          <w:marRight w:val="0"/>
          <w:marTop w:val="0"/>
          <w:marBottom w:val="0"/>
          <w:divBdr>
            <w:top w:val="none" w:sz="0" w:space="0" w:color="auto"/>
            <w:left w:val="none" w:sz="0" w:space="0" w:color="auto"/>
            <w:bottom w:val="none" w:sz="0" w:space="0" w:color="auto"/>
            <w:right w:val="none" w:sz="0" w:space="0" w:color="auto"/>
          </w:divBdr>
        </w:div>
        <w:div w:id="1057096464">
          <w:marLeft w:val="562"/>
          <w:marRight w:val="0"/>
          <w:marTop w:val="0"/>
          <w:marBottom w:val="0"/>
          <w:divBdr>
            <w:top w:val="none" w:sz="0" w:space="0" w:color="auto"/>
            <w:left w:val="none" w:sz="0" w:space="0" w:color="auto"/>
            <w:bottom w:val="none" w:sz="0" w:space="0" w:color="auto"/>
            <w:right w:val="none" w:sz="0" w:space="0" w:color="auto"/>
          </w:divBdr>
        </w:div>
        <w:div w:id="1581133237">
          <w:marLeft w:val="562"/>
          <w:marRight w:val="0"/>
          <w:marTop w:val="0"/>
          <w:marBottom w:val="0"/>
          <w:divBdr>
            <w:top w:val="none" w:sz="0" w:space="0" w:color="auto"/>
            <w:left w:val="none" w:sz="0" w:space="0" w:color="auto"/>
            <w:bottom w:val="none" w:sz="0" w:space="0" w:color="auto"/>
            <w:right w:val="none" w:sz="0" w:space="0" w:color="auto"/>
          </w:divBdr>
        </w:div>
        <w:div w:id="607541303">
          <w:marLeft w:val="562"/>
          <w:marRight w:val="0"/>
          <w:marTop w:val="0"/>
          <w:marBottom w:val="0"/>
          <w:divBdr>
            <w:top w:val="none" w:sz="0" w:space="0" w:color="auto"/>
            <w:left w:val="none" w:sz="0" w:space="0" w:color="auto"/>
            <w:bottom w:val="none" w:sz="0" w:space="0" w:color="auto"/>
            <w:right w:val="none" w:sz="0" w:space="0" w:color="auto"/>
          </w:divBdr>
        </w:div>
        <w:div w:id="793793444">
          <w:marLeft w:val="562"/>
          <w:marRight w:val="0"/>
          <w:marTop w:val="0"/>
          <w:marBottom w:val="0"/>
          <w:divBdr>
            <w:top w:val="none" w:sz="0" w:space="0" w:color="auto"/>
            <w:left w:val="none" w:sz="0" w:space="0" w:color="auto"/>
            <w:bottom w:val="none" w:sz="0" w:space="0" w:color="auto"/>
            <w:right w:val="none" w:sz="0" w:space="0" w:color="auto"/>
          </w:divBdr>
        </w:div>
        <w:div w:id="36324839">
          <w:marLeft w:val="562"/>
          <w:marRight w:val="0"/>
          <w:marTop w:val="0"/>
          <w:marBottom w:val="0"/>
          <w:divBdr>
            <w:top w:val="none" w:sz="0" w:space="0" w:color="auto"/>
            <w:left w:val="none" w:sz="0" w:space="0" w:color="auto"/>
            <w:bottom w:val="none" w:sz="0" w:space="0" w:color="auto"/>
            <w:right w:val="none" w:sz="0" w:space="0" w:color="auto"/>
          </w:divBdr>
        </w:div>
      </w:divsChild>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39D3E-B41B-4D5E-8EA5-82F7E8183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1262</Words>
  <Characters>7195</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8441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Thorsten Hertel</cp:lastModifiedBy>
  <cp:revision>4</cp:revision>
  <dcterms:created xsi:type="dcterms:W3CDTF">2018-04-06T14:32:00Z</dcterms:created>
  <dcterms:modified xsi:type="dcterms:W3CDTF">2018-04-06T20:31:00Z</dcterms:modified>
  <cp:category/>
</cp:coreProperties>
</file>